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2419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Міністерство освіти і науки України</w:t>
      </w:r>
    </w:p>
    <w:p w14:paraId="2B6D8729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Тернопільський національний педагогічний університет</w:t>
      </w:r>
    </w:p>
    <w:p w14:paraId="23E6EC97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імені Володимира Гнатюка</w:t>
      </w:r>
    </w:p>
    <w:p w14:paraId="6D0F1546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16"/>
          <w:szCs w:val="16"/>
          <w:lang w:val="uk-UA"/>
          <w14:ligatures w14:val="standardContextual"/>
        </w:rPr>
      </w:pPr>
    </w:p>
    <w:p w14:paraId="76B01603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Факультет філології і журналістики</w:t>
      </w:r>
    </w:p>
    <w:p w14:paraId="5C496D65" w14:textId="77777777" w:rsidR="00195336" w:rsidRPr="002B453C" w:rsidRDefault="00195336" w:rsidP="00195336">
      <w:pPr>
        <w:spacing w:after="0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Cs/>
          <w:kern w:val="2"/>
          <w:sz w:val="28"/>
          <w:szCs w:val="28"/>
          <w:lang w:val="uk-UA"/>
          <w14:ligatures w14:val="standardContextual"/>
        </w:rPr>
        <w:t>Кафедра української мови та славістики</w:t>
      </w:r>
    </w:p>
    <w:p w14:paraId="07F6A2B9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1BCD3D52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2BB6296A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494BC92C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065F8AF2" w14:textId="77777777" w:rsidR="00195336" w:rsidRPr="002B453C" w:rsidRDefault="00195336" w:rsidP="0019533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Кваліфікаційна робота</w:t>
      </w:r>
    </w:p>
    <w:p w14:paraId="43324372" w14:textId="5A37CCA1" w:rsidR="00195336" w:rsidRPr="002B453C" w:rsidRDefault="00F50068" w:rsidP="002B453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Style w:val="103"/>
          <w:b/>
          <w:bCs/>
          <w:sz w:val="28"/>
          <w:szCs w:val="28"/>
          <w:lang w:val="uk-UA"/>
        </w:rPr>
        <w:t>О</w:t>
      </w:r>
      <w:r w:rsidR="002B453C">
        <w:rPr>
          <w:rStyle w:val="103"/>
          <w:b/>
          <w:bCs/>
          <w:sz w:val="28"/>
          <w:szCs w:val="28"/>
          <w:lang w:val="uk-UA"/>
        </w:rPr>
        <w:t>СОБЛИВОСТІ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 xml:space="preserve">ВИВЧЕННЯ ПОЕЗІЇ 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>РАННЬОГО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>МОДЕРНІЗМУ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>У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>СТАРШІЙ</w:t>
      </w:r>
      <w:r w:rsidRPr="002B453C">
        <w:rPr>
          <w:rStyle w:val="103"/>
          <w:b/>
          <w:bCs/>
          <w:sz w:val="28"/>
          <w:szCs w:val="28"/>
          <w:lang w:val="uk-UA"/>
        </w:rPr>
        <w:t xml:space="preserve"> </w:t>
      </w:r>
      <w:r w:rsidR="002B453C">
        <w:rPr>
          <w:rStyle w:val="103"/>
          <w:b/>
          <w:bCs/>
          <w:sz w:val="28"/>
          <w:szCs w:val="28"/>
          <w:lang w:val="uk-UA"/>
        </w:rPr>
        <w:t>ШКОЛІ</w:t>
      </w:r>
    </w:p>
    <w:p w14:paraId="7A523DB5" w14:textId="2743A4DB" w:rsidR="00195336" w:rsidRPr="002B453C" w:rsidRDefault="00195336" w:rsidP="00A7557D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Спеціальність </w:t>
      </w:r>
      <w:r w:rsidR="000411CA"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0</w:t>
      </w:r>
      <w:r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14 Середня освіта </w:t>
      </w:r>
    </w:p>
    <w:p w14:paraId="0C6CF2C3" w14:textId="77777777" w:rsidR="00195336" w:rsidRPr="002B453C" w:rsidRDefault="00195336" w:rsidP="00A7557D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Освітня програма «Середня освіта </w:t>
      </w:r>
    </w:p>
    <w:p w14:paraId="40164C07" w14:textId="1316D2B6" w:rsidR="00195336" w:rsidRPr="002B453C" w:rsidRDefault="00195336" w:rsidP="00A7557D">
      <w:pPr>
        <w:spacing w:after="0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(Українська мова і література)»</w:t>
      </w:r>
    </w:p>
    <w:p w14:paraId="326F8B60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7C42ABC0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7B71844F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4CEDB70C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24C3E8B3" w14:textId="6394FA25" w:rsidR="00195336" w:rsidRPr="002B453C" w:rsidRDefault="00A7557D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з</w:t>
      </w:r>
      <w:r w:rsidR="00195336"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добувача другого (магістерського) </w:t>
      </w:r>
    </w:p>
    <w:p w14:paraId="0AC2EFED" w14:textId="77777777" w:rsidR="00195336" w:rsidRPr="002B453C" w:rsidRDefault="00195336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рівня вищої освіти </w:t>
      </w:r>
    </w:p>
    <w:p w14:paraId="737B02DA" w14:textId="0166BF85" w:rsidR="00195336" w:rsidRPr="002B453C" w:rsidRDefault="002B453C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Шургот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 Тетяни Ігорівни</w:t>
      </w:r>
    </w:p>
    <w:p w14:paraId="51296865" w14:textId="77777777" w:rsidR="00195336" w:rsidRPr="002B453C" w:rsidRDefault="00195336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16"/>
          <w:szCs w:val="16"/>
          <w:lang w:val="uk-UA"/>
          <w14:ligatures w14:val="standardContextual"/>
        </w:rPr>
      </w:pPr>
    </w:p>
    <w:p w14:paraId="3C96C6A1" w14:textId="325FF314" w:rsidR="00195336" w:rsidRPr="002B453C" w:rsidRDefault="00195336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Науковий керівник:</w:t>
      </w:r>
    </w:p>
    <w:p w14:paraId="7F4EE374" w14:textId="25FD1671" w:rsidR="00195336" w:rsidRPr="002B453C" w:rsidRDefault="00195336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кандидат філологічних наук, </w:t>
      </w:r>
    </w:p>
    <w:p w14:paraId="1078D899" w14:textId="77777777" w:rsidR="00195336" w:rsidRPr="002B453C" w:rsidRDefault="00195336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доцент </w:t>
      </w:r>
    </w:p>
    <w:p w14:paraId="071A1803" w14:textId="1F5CA84D" w:rsidR="00195336" w:rsidRPr="002B453C" w:rsidRDefault="002B453C" w:rsidP="00195336">
      <w:pPr>
        <w:spacing w:after="0"/>
        <w:ind w:firstLine="5103"/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Ткачук Олександр Миколайович</w:t>
      </w:r>
    </w:p>
    <w:p w14:paraId="0F17E7EF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0A740E0F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771020AD" w14:textId="77777777" w:rsidR="00195336" w:rsidRPr="002B453C" w:rsidRDefault="00195336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5D530F7C" w14:textId="77777777" w:rsidR="00A7557D" w:rsidRPr="002B453C" w:rsidRDefault="00A7557D" w:rsidP="00195336">
      <w:pPr>
        <w:spacing w:after="0" w:line="36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42F99A97" w14:textId="56941403" w:rsidR="00195336" w:rsidRPr="002B453C" w:rsidRDefault="00195336" w:rsidP="001953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53C">
        <w:rPr>
          <w:rFonts w:ascii="Times New Roman" w:eastAsia="Calibri" w:hAnsi="Times New Roman" w:cs="Times New Roman"/>
          <w:kern w:val="2"/>
          <w:sz w:val="28"/>
          <w:szCs w:val="28"/>
          <w:lang w:val="uk-UA"/>
          <w14:ligatures w14:val="standardContextual"/>
        </w:rPr>
        <w:t>Тернопіль – 2025</w:t>
      </w:r>
      <w:r w:rsidRPr="002B453C"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6C5DA4A0" w14:textId="77777777" w:rsidR="00574253" w:rsidRPr="002B453C" w:rsidRDefault="00574253" w:rsidP="003756C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АНОТАЦІЯ</w:t>
      </w:r>
    </w:p>
    <w:p w14:paraId="5F817094" w14:textId="74FFD7E8" w:rsidR="00574253" w:rsidRPr="002B453C" w:rsidRDefault="002B453C" w:rsidP="00375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Шургот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Т.І.</w:t>
      </w:r>
      <w:r w:rsidRPr="002B453C">
        <w:rPr>
          <w:sz w:val="28"/>
          <w:szCs w:val="28"/>
        </w:rPr>
        <w:t xml:space="preserve"> </w:t>
      </w:r>
      <w:r>
        <w:rPr>
          <w:rStyle w:val="103"/>
          <w:sz w:val="28"/>
          <w:szCs w:val="28"/>
        </w:rPr>
        <w:t>«</w:t>
      </w:r>
      <w:proofErr w:type="spellStart"/>
      <w:r w:rsidRPr="004C39F2">
        <w:rPr>
          <w:rStyle w:val="103"/>
          <w:sz w:val="28"/>
          <w:szCs w:val="28"/>
        </w:rPr>
        <w:t>Особливості</w:t>
      </w:r>
      <w:proofErr w:type="spellEnd"/>
      <w:r w:rsidRPr="004C39F2">
        <w:rPr>
          <w:rStyle w:val="103"/>
          <w:sz w:val="28"/>
          <w:szCs w:val="28"/>
        </w:rPr>
        <w:t xml:space="preserve"> </w:t>
      </w:r>
      <w:proofErr w:type="spellStart"/>
      <w:r w:rsidRPr="004C39F2">
        <w:rPr>
          <w:rStyle w:val="103"/>
          <w:sz w:val="28"/>
          <w:szCs w:val="28"/>
        </w:rPr>
        <w:t>вивчення</w:t>
      </w:r>
      <w:proofErr w:type="spellEnd"/>
      <w:r w:rsidRPr="004C39F2">
        <w:rPr>
          <w:rStyle w:val="103"/>
          <w:sz w:val="28"/>
          <w:szCs w:val="28"/>
        </w:rPr>
        <w:t xml:space="preserve"> </w:t>
      </w:r>
      <w:proofErr w:type="spellStart"/>
      <w:r w:rsidRPr="004C39F2">
        <w:rPr>
          <w:rStyle w:val="103"/>
          <w:sz w:val="28"/>
          <w:szCs w:val="28"/>
        </w:rPr>
        <w:t>поезії</w:t>
      </w:r>
      <w:proofErr w:type="spellEnd"/>
      <w:r w:rsidRPr="004C39F2">
        <w:rPr>
          <w:rStyle w:val="103"/>
          <w:sz w:val="28"/>
          <w:szCs w:val="28"/>
        </w:rPr>
        <w:t xml:space="preserve"> </w:t>
      </w:r>
      <w:proofErr w:type="spellStart"/>
      <w:r w:rsidRPr="004C39F2">
        <w:rPr>
          <w:rStyle w:val="103"/>
          <w:sz w:val="28"/>
          <w:szCs w:val="28"/>
        </w:rPr>
        <w:t>раннього</w:t>
      </w:r>
      <w:proofErr w:type="spellEnd"/>
      <w:r w:rsidRPr="004C39F2">
        <w:rPr>
          <w:rStyle w:val="103"/>
          <w:sz w:val="28"/>
          <w:szCs w:val="28"/>
        </w:rPr>
        <w:t xml:space="preserve"> </w:t>
      </w:r>
      <w:proofErr w:type="spellStart"/>
      <w:r w:rsidRPr="004C39F2">
        <w:rPr>
          <w:rStyle w:val="103"/>
          <w:sz w:val="28"/>
          <w:szCs w:val="28"/>
        </w:rPr>
        <w:t>модернізму</w:t>
      </w:r>
      <w:proofErr w:type="spellEnd"/>
      <w:r w:rsidRPr="004C39F2">
        <w:rPr>
          <w:rStyle w:val="103"/>
          <w:sz w:val="28"/>
          <w:szCs w:val="28"/>
        </w:rPr>
        <w:t xml:space="preserve"> у </w:t>
      </w:r>
      <w:proofErr w:type="spellStart"/>
      <w:r w:rsidRPr="004C39F2">
        <w:rPr>
          <w:rStyle w:val="103"/>
          <w:sz w:val="28"/>
          <w:szCs w:val="28"/>
        </w:rPr>
        <w:t>старшій</w:t>
      </w:r>
      <w:proofErr w:type="spellEnd"/>
      <w:r w:rsidRPr="004C39F2">
        <w:rPr>
          <w:rStyle w:val="103"/>
          <w:sz w:val="28"/>
          <w:szCs w:val="28"/>
        </w:rPr>
        <w:t xml:space="preserve"> </w:t>
      </w:r>
      <w:proofErr w:type="spellStart"/>
      <w:r w:rsidRPr="004C39F2">
        <w:rPr>
          <w:rStyle w:val="103"/>
          <w:sz w:val="28"/>
          <w:szCs w:val="28"/>
        </w:rPr>
        <w:t>школі</w:t>
      </w:r>
      <w:proofErr w:type="spellEnd"/>
      <w:r>
        <w:rPr>
          <w:rStyle w:val="103"/>
          <w:sz w:val="28"/>
          <w:szCs w:val="28"/>
        </w:rPr>
        <w:t>»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>: кваліфікаційна робота на здобуття освітнього ступеня</w:t>
      </w:r>
      <w:r w:rsidR="00A22A2F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«магістр» зі спеціальності 014 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Середня освіта. Тернопіль: ТНПУ, 2025.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>1 с.</w:t>
      </w:r>
    </w:p>
    <w:p w14:paraId="7248621E" w14:textId="77777777" w:rsidR="004E29C7" w:rsidRPr="002B453C" w:rsidRDefault="004E29C7" w:rsidP="003756CC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3C8D1AF" w14:textId="77777777" w:rsidR="003756CC" w:rsidRPr="002B453C" w:rsidRDefault="003756CC" w:rsidP="00375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53C">
        <w:rPr>
          <w:rFonts w:ascii="Times New Roman" w:hAnsi="Times New Roman" w:cs="Times New Roman"/>
          <w:sz w:val="28"/>
          <w:szCs w:val="28"/>
          <w:lang w:val="uk-UA"/>
        </w:rPr>
        <w:t>Кваліфікаційну р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оботу присвячено дослідженню особливостей вивчення фразеологізмів на </w:t>
      </w:r>
      <w:proofErr w:type="spellStart"/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закладах загальної середньої освіти. Обґрунтовано значення фразеології у формуванні </w:t>
      </w:r>
      <w:proofErr w:type="spellStart"/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>мов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>нокомунікативної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4253" w:rsidRPr="002B453C">
        <w:rPr>
          <w:rFonts w:ascii="Times New Roman" w:hAnsi="Times New Roman" w:cs="Times New Roman"/>
          <w:sz w:val="28"/>
          <w:szCs w:val="28"/>
          <w:lang w:val="uk-UA"/>
        </w:rPr>
        <w:t>компетентності учнів.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Виокремлено та систематизовано особливості українських фразеологізмів, які мають бути враховані в освітньому процесі: семантичну цілісність, образність, національно-культурну специфіку. </w:t>
      </w:r>
    </w:p>
    <w:p w14:paraId="4A20D9FA" w14:textId="78AE1F35" w:rsidR="003756CC" w:rsidRPr="002B453C" w:rsidRDefault="00574253" w:rsidP="00375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53C">
        <w:rPr>
          <w:rFonts w:ascii="Times New Roman" w:hAnsi="Times New Roman" w:cs="Times New Roman"/>
          <w:sz w:val="28"/>
          <w:szCs w:val="28"/>
          <w:lang w:val="uk-UA"/>
        </w:rPr>
        <w:t>Запропоновано методичну систему вивчення українських фразеологізмів, спрямовану на підвищення рівня розуміння та доречного використання їх у мовленнєвій діяльності</w:t>
      </w:r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школярів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озроблено та експериментально перевірено комплекс інноваційних </w:t>
      </w:r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>технологій для роботи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з фразеологізмами</w:t>
      </w:r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проєктн</w:t>
      </w:r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>, ігрові, особистісно-орієнтовані технології, а також метод стилістичного аналізу, прийом лінгвокраїнознавчого коментування.</w:t>
      </w:r>
    </w:p>
    <w:p w14:paraId="5019275A" w14:textId="77777777" w:rsidR="004E29C7" w:rsidRPr="002B453C" w:rsidRDefault="004E29C7" w:rsidP="003756CC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9571686" w14:textId="77777777" w:rsidR="00FB5A47" w:rsidRPr="002B453C" w:rsidRDefault="00574253" w:rsidP="00375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453C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фразеологізми, методика викладання, українська мова, загальна середня освіта, </w:t>
      </w:r>
      <w:proofErr w:type="spellStart"/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>мовнокомунікативна</w:t>
      </w:r>
      <w:proofErr w:type="spellEnd"/>
      <w:r w:rsidR="003756CC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>компетентність, інноваційні технології.</w:t>
      </w:r>
    </w:p>
    <w:p w14:paraId="363F5E93" w14:textId="77777777" w:rsidR="006C07DA" w:rsidRPr="002B453C" w:rsidRDefault="006C07DA" w:rsidP="00375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A887A9" w14:textId="77777777" w:rsidR="006C07DA" w:rsidRPr="002B453C" w:rsidRDefault="006C07DA" w:rsidP="006C07DA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</w:p>
    <w:p w14:paraId="2E69530F" w14:textId="004C177A" w:rsidR="006C07DA" w:rsidRPr="002B453C" w:rsidRDefault="006C07DA" w:rsidP="006C07DA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Ilchuk</w:t>
      </w:r>
      <w:proofErr w:type="spellEnd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F556B" w:rsidRPr="002B453C">
        <w:rPr>
          <w:rFonts w:ascii="Times New Roman" w:hAnsi="Times New Roman" w:cs="Times New Roman"/>
          <w:b/>
          <w:sz w:val="28"/>
          <w:szCs w:val="28"/>
          <w:lang w:val="uk-UA"/>
        </w:rPr>
        <w:t>N</w:t>
      </w:r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. V.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studying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lessons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obtaining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“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Master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”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014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Volodymyr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Hnatiuk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2025. 71 p. </w:t>
      </w:r>
    </w:p>
    <w:p w14:paraId="19A4393F" w14:textId="77777777" w:rsidR="006C07DA" w:rsidRPr="002B453C" w:rsidRDefault="006C07DA" w:rsidP="006C07D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C34F4B6" w14:textId="6B093E2F" w:rsidR="006C07DA" w:rsidRPr="002B453C" w:rsidRDefault="006C07DA" w:rsidP="006C07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focuses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peculiarities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studying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classes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within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institutions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importance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linguistic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communicative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competence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substantiated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should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be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taken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account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identified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systematised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semantic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integrity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imagery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specificity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studying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proposed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improving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understanding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appropriate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speech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schoolchildren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studying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proposed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improving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lastRenderedPageBreak/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understanding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appropriate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them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speech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activity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schoolchildren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. A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innovative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working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phraseological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units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has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been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experimentally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tested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including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project-based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game-based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personality-oriented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well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stylistic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ling</w:t>
      </w:r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>uistic</w:t>
      </w:r>
      <w:proofErr w:type="spellEnd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>commentary</w:t>
      </w:r>
      <w:proofErr w:type="spellEnd"/>
      <w:r w:rsidR="00A7557D" w:rsidRPr="002B45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9CC741" w14:textId="77777777" w:rsidR="006C07DA" w:rsidRPr="002B453C" w:rsidRDefault="006C07DA" w:rsidP="006C07DA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81BF15D" w14:textId="6794D9FC" w:rsidR="006C07DA" w:rsidRPr="002B453C" w:rsidRDefault="006C07DA" w:rsidP="006C07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2B453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idioms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teaching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methodology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general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secondary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communication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competence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innovative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B453C">
        <w:rPr>
          <w:rFonts w:ascii="Times New Roman" w:hAnsi="Times New Roman" w:cs="Times New Roman"/>
          <w:sz w:val="28"/>
          <w:szCs w:val="28"/>
          <w:lang w:val="uk-UA"/>
        </w:rPr>
        <w:t>technologies</w:t>
      </w:r>
      <w:proofErr w:type="spellEnd"/>
      <w:r w:rsidRPr="002B45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6C07DA" w:rsidRPr="002B4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47"/>
    <w:rsid w:val="000411CA"/>
    <w:rsid w:val="000E5513"/>
    <w:rsid w:val="00195336"/>
    <w:rsid w:val="00216447"/>
    <w:rsid w:val="002B453C"/>
    <w:rsid w:val="002E034D"/>
    <w:rsid w:val="0034254B"/>
    <w:rsid w:val="003756CC"/>
    <w:rsid w:val="00395FBA"/>
    <w:rsid w:val="003D2C55"/>
    <w:rsid w:val="00443901"/>
    <w:rsid w:val="004E29C7"/>
    <w:rsid w:val="00574253"/>
    <w:rsid w:val="005B08D8"/>
    <w:rsid w:val="005E3BA4"/>
    <w:rsid w:val="0062125B"/>
    <w:rsid w:val="006C07DA"/>
    <w:rsid w:val="006F5D58"/>
    <w:rsid w:val="0073608D"/>
    <w:rsid w:val="00767E50"/>
    <w:rsid w:val="007D70FC"/>
    <w:rsid w:val="007F556B"/>
    <w:rsid w:val="007F66FF"/>
    <w:rsid w:val="008464B5"/>
    <w:rsid w:val="0086300F"/>
    <w:rsid w:val="00A22A2F"/>
    <w:rsid w:val="00A7557D"/>
    <w:rsid w:val="00CA2245"/>
    <w:rsid w:val="00DA180A"/>
    <w:rsid w:val="00E80871"/>
    <w:rsid w:val="00ED3881"/>
    <w:rsid w:val="00F06AE6"/>
    <w:rsid w:val="00F27583"/>
    <w:rsid w:val="00F50068"/>
    <w:rsid w:val="00F6796E"/>
    <w:rsid w:val="00FB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C22"/>
  <w15:docId w15:val="{A499BD8E-E150-45BD-81B0-C271780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3">
    <w:name w:val="Основний текст + 103"/>
    <w:aliases w:val="5 pt17"/>
    <w:basedOn w:val="a0"/>
    <w:uiPriority w:val="99"/>
    <w:rsid w:val="00F50068"/>
    <w:rPr>
      <w:rFonts w:ascii="Times New Roman" w:hAnsi="Times New Roman" w:cs="Times New Roman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2190</Words>
  <Characters>1249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 Струганець</dc:creator>
  <cp:keywords/>
  <dc:description/>
  <cp:lastModifiedBy>Sasha Tkachuk</cp:lastModifiedBy>
  <cp:revision>3</cp:revision>
  <cp:lastPrinted>2025-11-18T16:44:00Z</cp:lastPrinted>
  <dcterms:created xsi:type="dcterms:W3CDTF">2025-12-18T19:30:00Z</dcterms:created>
  <dcterms:modified xsi:type="dcterms:W3CDTF">2025-12-18T19:33:00Z</dcterms:modified>
</cp:coreProperties>
</file>