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7789" w14:textId="77777777" w:rsidR="00D768DD" w:rsidRPr="009D6F1F" w:rsidRDefault="00D768DD" w:rsidP="00D768DD">
      <w:pPr>
        <w:spacing w:after="0" w:line="360" w:lineRule="auto"/>
        <w:jc w:val="center"/>
        <w:rPr>
          <w:rFonts w:ascii="Times New Roman" w:hAnsi="Times New Roman" w:cs="Times New Roman"/>
          <w:b/>
          <w:sz w:val="28"/>
          <w:szCs w:val="28"/>
          <w:lang w:val="uk-UA"/>
        </w:rPr>
      </w:pPr>
      <w:r w:rsidRPr="009D6F1F">
        <w:rPr>
          <w:rFonts w:ascii="Times New Roman" w:hAnsi="Times New Roman" w:cs="Times New Roman"/>
          <w:b/>
          <w:sz w:val="28"/>
          <w:szCs w:val="28"/>
          <w:lang w:val="uk-UA"/>
        </w:rPr>
        <w:t>А</w:t>
      </w:r>
      <w:r w:rsidR="009D6F1F">
        <w:rPr>
          <w:rFonts w:ascii="Times New Roman" w:hAnsi="Times New Roman" w:cs="Times New Roman"/>
          <w:b/>
          <w:sz w:val="28"/>
          <w:szCs w:val="28"/>
          <w:lang w:val="uk-UA"/>
        </w:rPr>
        <w:t>НОТАЦІЯ</w:t>
      </w:r>
    </w:p>
    <w:p w14:paraId="6A037BA3" w14:textId="02D39234" w:rsidR="00D768DD" w:rsidRPr="00D768DD" w:rsidRDefault="00D768DD" w:rsidP="009D6F1F">
      <w:pPr>
        <w:spacing w:after="0" w:line="240" w:lineRule="auto"/>
        <w:jc w:val="both"/>
        <w:rPr>
          <w:rFonts w:ascii="Times New Roman" w:hAnsi="Times New Roman" w:cs="Times New Roman"/>
          <w:b/>
          <w:sz w:val="28"/>
          <w:szCs w:val="28"/>
          <w:lang w:val="ru-RU"/>
        </w:rPr>
      </w:pPr>
      <w:r w:rsidRPr="00D768DD">
        <w:rPr>
          <w:rFonts w:ascii="Times New Roman" w:hAnsi="Times New Roman" w:cs="Times New Roman"/>
          <w:b/>
          <w:sz w:val="28"/>
          <w:szCs w:val="28"/>
          <w:lang w:val="uk-UA"/>
        </w:rPr>
        <w:t xml:space="preserve">Демчан Д. В. </w:t>
      </w:r>
      <w:r w:rsidRPr="00D768DD">
        <w:rPr>
          <w:rFonts w:ascii="Times New Roman" w:hAnsi="Times New Roman" w:cs="Times New Roman"/>
          <w:b/>
          <w:sz w:val="28"/>
          <w:szCs w:val="28"/>
          <w:lang w:val="ru-RU"/>
        </w:rPr>
        <w:t xml:space="preserve">Внутрішня та зовнішня політика Норвегії за правління короля Гокона </w:t>
      </w:r>
      <w:r w:rsidRPr="00D768DD">
        <w:rPr>
          <w:rFonts w:ascii="Times New Roman" w:hAnsi="Times New Roman" w:cs="Times New Roman"/>
          <w:b/>
          <w:sz w:val="28"/>
          <w:szCs w:val="28"/>
        </w:rPr>
        <w:t>VII</w:t>
      </w:r>
      <w:r w:rsidRPr="00D768DD">
        <w:rPr>
          <w:rFonts w:ascii="Times New Roman" w:hAnsi="Times New Roman" w:cs="Times New Roman"/>
          <w:b/>
          <w:sz w:val="28"/>
          <w:szCs w:val="28"/>
          <w:lang w:val="ru-RU"/>
        </w:rPr>
        <w:t xml:space="preserve"> (1905–1957 рр.). Кваліфікаційна робота. Тернопіль, 2025.</w:t>
      </w:r>
      <w:r w:rsidR="006355A4">
        <w:rPr>
          <w:rFonts w:ascii="Times New Roman" w:hAnsi="Times New Roman" w:cs="Times New Roman"/>
          <w:b/>
          <w:sz w:val="28"/>
          <w:szCs w:val="28"/>
          <w:lang w:val="ru-RU"/>
        </w:rPr>
        <w:t xml:space="preserve"> </w:t>
      </w:r>
      <w:r w:rsidR="00532B3F">
        <w:rPr>
          <w:rFonts w:ascii="Times New Roman" w:hAnsi="Times New Roman" w:cs="Times New Roman"/>
          <w:b/>
          <w:sz w:val="28"/>
          <w:szCs w:val="28"/>
          <w:lang w:val="ru-RU"/>
        </w:rPr>
        <w:t xml:space="preserve">68 </w:t>
      </w:r>
      <w:r>
        <w:rPr>
          <w:rFonts w:ascii="Times New Roman" w:hAnsi="Times New Roman" w:cs="Times New Roman"/>
          <w:b/>
          <w:sz w:val="28"/>
          <w:szCs w:val="28"/>
          <w:lang w:val="ru-RU"/>
        </w:rPr>
        <w:t>с</w:t>
      </w:r>
      <w:r w:rsidRPr="00D768DD">
        <w:rPr>
          <w:rFonts w:ascii="Times New Roman" w:hAnsi="Times New Roman" w:cs="Times New Roman"/>
          <w:b/>
          <w:sz w:val="28"/>
          <w:szCs w:val="28"/>
          <w:lang w:val="ru-RU"/>
        </w:rPr>
        <w:t xml:space="preserve">. </w:t>
      </w:r>
    </w:p>
    <w:p w14:paraId="22AB1740" w14:textId="77777777" w:rsidR="00D768DD" w:rsidRPr="00D768DD" w:rsidRDefault="00D768DD" w:rsidP="009D6F1F">
      <w:pPr>
        <w:spacing w:after="0" w:line="240" w:lineRule="auto"/>
        <w:jc w:val="both"/>
        <w:rPr>
          <w:rFonts w:cs="Times New Roman"/>
          <w:szCs w:val="28"/>
          <w:lang w:val="ru-RU"/>
        </w:rPr>
      </w:pPr>
    </w:p>
    <w:p w14:paraId="18A7AF78" w14:textId="77777777" w:rsidR="00D768DD" w:rsidRPr="00D768DD" w:rsidRDefault="00D768DD" w:rsidP="009D6F1F">
      <w:pPr>
        <w:spacing w:after="0" w:line="240" w:lineRule="auto"/>
        <w:jc w:val="both"/>
        <w:rPr>
          <w:rFonts w:cs="Times New Roman"/>
          <w:szCs w:val="28"/>
          <w:lang w:val="ru-RU"/>
        </w:rPr>
      </w:pPr>
    </w:p>
    <w:p w14:paraId="7403516D" w14:textId="77777777" w:rsidR="002F631B" w:rsidRDefault="002F631B" w:rsidP="009D6F1F">
      <w:pPr>
        <w:spacing w:after="0" w:line="240" w:lineRule="auto"/>
        <w:jc w:val="both"/>
        <w:rPr>
          <w:rFonts w:ascii="Times New Roman" w:hAnsi="Times New Roman" w:cs="Times New Roman"/>
          <w:b/>
          <w:sz w:val="28"/>
          <w:szCs w:val="28"/>
          <w:lang w:val="ru-RU"/>
        </w:rPr>
      </w:pPr>
    </w:p>
    <w:p w14:paraId="3E57C3B3" w14:textId="77777777" w:rsidR="002F631B" w:rsidRPr="002F631B" w:rsidRDefault="002F631B" w:rsidP="002F631B">
      <w:pPr>
        <w:spacing w:after="0" w:line="240" w:lineRule="auto"/>
        <w:ind w:firstLine="709"/>
        <w:jc w:val="both"/>
        <w:rPr>
          <w:rFonts w:ascii="Times New Roman" w:hAnsi="Times New Roman" w:cs="Times New Roman"/>
          <w:b/>
          <w:sz w:val="28"/>
          <w:szCs w:val="28"/>
          <w:lang w:val="ru-RU"/>
        </w:rPr>
      </w:pPr>
      <w:r w:rsidRPr="002F631B">
        <w:rPr>
          <w:rFonts w:ascii="Times New Roman" w:hAnsi="Times New Roman" w:cs="Times New Roman"/>
          <w:sz w:val="28"/>
          <w:szCs w:val="28"/>
          <w:lang w:val="ru-RU"/>
        </w:rPr>
        <w:t xml:space="preserve">У кваліфікаційній роботі розкрито конституційні засади монархії Норвегії на початку ХХ ст. та визначено місце королівської влади в системі державного управління. Проаналізовано взаємини Гокона </w:t>
      </w:r>
      <w:r w:rsidRPr="002F631B">
        <w:rPr>
          <w:rFonts w:ascii="Times New Roman" w:hAnsi="Times New Roman" w:cs="Times New Roman"/>
          <w:sz w:val="28"/>
          <w:szCs w:val="28"/>
        </w:rPr>
        <w:t>VII</w:t>
      </w:r>
      <w:r w:rsidRPr="002F631B">
        <w:rPr>
          <w:rFonts w:ascii="Times New Roman" w:hAnsi="Times New Roman" w:cs="Times New Roman"/>
          <w:sz w:val="28"/>
          <w:szCs w:val="28"/>
          <w:lang w:val="ru-RU"/>
        </w:rPr>
        <w:t xml:space="preserve"> з парламентом і урядом, а також його дії в кризових ситуаціях, зокрема в роки Другої світової війни. Автор роботи окреслив вплив діяльності Гокона </w:t>
      </w:r>
      <w:r w:rsidRPr="002F631B">
        <w:rPr>
          <w:rFonts w:ascii="Times New Roman" w:hAnsi="Times New Roman" w:cs="Times New Roman"/>
          <w:sz w:val="28"/>
          <w:szCs w:val="28"/>
        </w:rPr>
        <w:t>VII</w:t>
      </w:r>
      <w:r w:rsidRPr="002F631B">
        <w:rPr>
          <w:rFonts w:ascii="Times New Roman" w:hAnsi="Times New Roman" w:cs="Times New Roman"/>
          <w:sz w:val="28"/>
          <w:szCs w:val="28"/>
          <w:lang w:val="ru-RU"/>
        </w:rPr>
        <w:t xml:space="preserve"> на формування сучасної моделі норвезької монархії та дослідив зовнішньополітичні пріоритети Норвегії за часів його правління</w:t>
      </w:r>
      <w:r>
        <w:rPr>
          <w:rFonts w:ascii="Times New Roman" w:hAnsi="Times New Roman" w:cs="Times New Roman"/>
          <w:sz w:val="28"/>
          <w:szCs w:val="28"/>
          <w:lang w:val="ru-RU"/>
        </w:rPr>
        <w:t>:</w:t>
      </w:r>
      <w:r w:rsidRPr="002F631B">
        <w:rPr>
          <w:rFonts w:ascii="Times New Roman" w:hAnsi="Times New Roman" w:cs="Times New Roman"/>
          <w:sz w:val="28"/>
          <w:szCs w:val="28"/>
          <w:lang w:val="ru-RU"/>
        </w:rPr>
        <w:t xml:space="preserve"> від здобуття незалежності, через Першу світову війну, міжвоєнний період і Другу світову війну, до післявоєнного розвитку. Крім того, у роботі оцінено значення зовнішньополітичної діяльності Гокона </w:t>
      </w:r>
      <w:r w:rsidRPr="002F631B">
        <w:rPr>
          <w:rFonts w:ascii="Times New Roman" w:hAnsi="Times New Roman" w:cs="Times New Roman"/>
          <w:sz w:val="28"/>
          <w:szCs w:val="28"/>
        </w:rPr>
        <w:t>VII</w:t>
      </w:r>
      <w:r w:rsidRPr="002F631B">
        <w:rPr>
          <w:rFonts w:ascii="Times New Roman" w:hAnsi="Times New Roman" w:cs="Times New Roman"/>
          <w:sz w:val="28"/>
          <w:szCs w:val="28"/>
          <w:lang w:val="ru-RU"/>
        </w:rPr>
        <w:t xml:space="preserve"> для міжнародного іміджу Норвегії та становлення системи колективної безпеки.</w:t>
      </w:r>
    </w:p>
    <w:p w14:paraId="47FB82AB" w14:textId="77777777" w:rsidR="002F631B" w:rsidRDefault="002F631B" w:rsidP="009D6F1F">
      <w:pPr>
        <w:spacing w:after="0" w:line="240" w:lineRule="auto"/>
        <w:jc w:val="both"/>
        <w:rPr>
          <w:rFonts w:ascii="Times New Roman" w:hAnsi="Times New Roman" w:cs="Times New Roman"/>
          <w:b/>
          <w:sz w:val="28"/>
          <w:szCs w:val="28"/>
          <w:lang w:val="ru-RU"/>
        </w:rPr>
      </w:pPr>
    </w:p>
    <w:p w14:paraId="16D0AF64" w14:textId="77777777" w:rsidR="002F631B" w:rsidRDefault="002F631B" w:rsidP="009D6F1F">
      <w:pPr>
        <w:spacing w:after="0" w:line="240" w:lineRule="auto"/>
        <w:jc w:val="both"/>
        <w:rPr>
          <w:rFonts w:ascii="Times New Roman" w:hAnsi="Times New Roman" w:cs="Times New Roman"/>
          <w:b/>
          <w:sz w:val="28"/>
          <w:szCs w:val="28"/>
          <w:lang w:val="ru-RU"/>
        </w:rPr>
      </w:pPr>
    </w:p>
    <w:p w14:paraId="5EE55DED" w14:textId="77777777" w:rsidR="00D768DD" w:rsidRPr="00BE6CE2" w:rsidRDefault="00D768DD" w:rsidP="009D6F1F">
      <w:pPr>
        <w:spacing w:after="0" w:line="240" w:lineRule="auto"/>
        <w:jc w:val="both"/>
        <w:rPr>
          <w:rFonts w:ascii="Times New Roman" w:hAnsi="Times New Roman" w:cs="Times New Roman"/>
          <w:sz w:val="28"/>
          <w:szCs w:val="28"/>
          <w:lang w:val="uk-UA"/>
        </w:rPr>
      </w:pPr>
      <w:r w:rsidRPr="00BE6CE2">
        <w:rPr>
          <w:rFonts w:ascii="Times New Roman" w:hAnsi="Times New Roman" w:cs="Times New Roman"/>
          <w:b/>
          <w:sz w:val="28"/>
          <w:szCs w:val="28"/>
          <w:lang w:val="uk-UA"/>
        </w:rPr>
        <w:t>Ключові слова:</w:t>
      </w:r>
      <w:r w:rsidRPr="00BE6CE2">
        <w:rPr>
          <w:rFonts w:ascii="Times New Roman" w:hAnsi="Times New Roman" w:cs="Times New Roman"/>
          <w:sz w:val="28"/>
          <w:szCs w:val="28"/>
          <w:lang w:val="uk-UA"/>
        </w:rPr>
        <w:t xml:space="preserve"> Норвегія, Перша та Друга світова війна, конституційна монархія, </w:t>
      </w:r>
      <w:r w:rsidR="009D6F1F">
        <w:rPr>
          <w:rFonts w:ascii="Times New Roman" w:hAnsi="Times New Roman" w:cs="Times New Roman"/>
          <w:sz w:val="28"/>
          <w:szCs w:val="28"/>
          <w:lang w:val="uk-UA"/>
        </w:rPr>
        <w:t>зовнішня політика,</w:t>
      </w:r>
      <w:r w:rsidR="009D6F1F" w:rsidRPr="00BE6CE2">
        <w:rPr>
          <w:rFonts w:ascii="Times New Roman" w:hAnsi="Times New Roman" w:cs="Times New Roman"/>
          <w:sz w:val="28"/>
          <w:szCs w:val="28"/>
          <w:lang w:val="uk-UA"/>
        </w:rPr>
        <w:t xml:space="preserve"> </w:t>
      </w:r>
      <w:r w:rsidRPr="00BE6CE2">
        <w:rPr>
          <w:rFonts w:ascii="Times New Roman" w:hAnsi="Times New Roman" w:cs="Times New Roman"/>
          <w:sz w:val="28"/>
          <w:szCs w:val="28"/>
          <w:lang w:val="uk-UA"/>
        </w:rPr>
        <w:t>система колективної безпеки</w:t>
      </w:r>
      <w:r w:rsidR="009D6F1F">
        <w:rPr>
          <w:rFonts w:ascii="Times New Roman" w:hAnsi="Times New Roman" w:cs="Times New Roman"/>
          <w:sz w:val="28"/>
          <w:szCs w:val="28"/>
          <w:lang w:val="uk-UA"/>
        </w:rPr>
        <w:t>.</w:t>
      </w:r>
    </w:p>
    <w:p w14:paraId="20513BB2" w14:textId="77777777" w:rsidR="00F43137" w:rsidRDefault="00F43137" w:rsidP="009D6F1F">
      <w:pPr>
        <w:spacing w:after="0" w:line="240" w:lineRule="auto"/>
        <w:rPr>
          <w:lang w:val="uk-UA"/>
        </w:rPr>
      </w:pPr>
    </w:p>
    <w:p w14:paraId="676BD309" w14:textId="77777777" w:rsidR="009D6F1F" w:rsidRDefault="009D6F1F" w:rsidP="009D6F1F">
      <w:pPr>
        <w:spacing w:after="0" w:line="240" w:lineRule="auto"/>
        <w:rPr>
          <w:lang w:val="uk-UA"/>
        </w:rPr>
      </w:pPr>
    </w:p>
    <w:p w14:paraId="2E8BE307" w14:textId="77777777" w:rsidR="009D6F1F" w:rsidRPr="009D6F1F" w:rsidRDefault="009D6F1F" w:rsidP="009D6F1F">
      <w:pPr>
        <w:spacing w:after="0" w:line="240" w:lineRule="auto"/>
        <w:jc w:val="center"/>
        <w:rPr>
          <w:rFonts w:ascii="Times New Roman" w:hAnsi="Times New Roman" w:cs="Times New Roman"/>
          <w:b/>
          <w:sz w:val="28"/>
          <w:szCs w:val="28"/>
          <w:lang w:val="uk-UA"/>
        </w:rPr>
      </w:pPr>
      <w:r w:rsidRPr="009D6F1F">
        <w:rPr>
          <w:rFonts w:ascii="Times New Roman" w:hAnsi="Times New Roman" w:cs="Times New Roman"/>
          <w:b/>
          <w:sz w:val="28"/>
          <w:szCs w:val="28"/>
          <w:lang w:val="uk-UA"/>
        </w:rPr>
        <w:t>ANNOTATION</w:t>
      </w:r>
    </w:p>
    <w:p w14:paraId="47914674" w14:textId="558FCB2A" w:rsidR="009D6F1F" w:rsidRPr="009D6F1F" w:rsidRDefault="009D6F1F" w:rsidP="009D6F1F">
      <w:pPr>
        <w:spacing w:after="0" w:line="240" w:lineRule="auto"/>
        <w:jc w:val="both"/>
        <w:rPr>
          <w:rFonts w:ascii="Times New Roman" w:hAnsi="Times New Roman" w:cs="Times New Roman"/>
          <w:b/>
          <w:sz w:val="28"/>
          <w:szCs w:val="28"/>
          <w:lang w:val="uk-UA"/>
        </w:rPr>
      </w:pPr>
      <w:r w:rsidRPr="009D6F1F">
        <w:rPr>
          <w:rFonts w:ascii="Times New Roman" w:hAnsi="Times New Roman" w:cs="Times New Roman"/>
          <w:b/>
          <w:sz w:val="28"/>
          <w:szCs w:val="28"/>
          <w:lang w:val="uk-UA"/>
        </w:rPr>
        <w:t>Demchan D. V. Domestic and foreign policy of Norway during the reign of King Haakon VII (1905–1957). Qualification work. Ternopil, 2025.</w:t>
      </w:r>
      <w:r w:rsidR="006355A4">
        <w:rPr>
          <w:rFonts w:ascii="Times New Roman" w:hAnsi="Times New Roman" w:cs="Times New Roman"/>
          <w:b/>
          <w:sz w:val="28"/>
          <w:szCs w:val="28"/>
          <w:lang w:val="uk-UA"/>
        </w:rPr>
        <w:t xml:space="preserve"> </w:t>
      </w:r>
      <w:r w:rsidR="00532B3F">
        <w:rPr>
          <w:rFonts w:ascii="Times New Roman" w:hAnsi="Times New Roman" w:cs="Times New Roman"/>
          <w:b/>
          <w:sz w:val="28"/>
          <w:szCs w:val="28"/>
          <w:lang w:val="uk-UA"/>
        </w:rPr>
        <w:t xml:space="preserve">68 </w:t>
      </w:r>
      <w:r w:rsidRPr="009D6F1F">
        <w:rPr>
          <w:rFonts w:ascii="Times New Roman" w:hAnsi="Times New Roman" w:cs="Times New Roman"/>
          <w:b/>
          <w:sz w:val="28"/>
          <w:szCs w:val="28"/>
          <w:lang w:val="uk-UA"/>
        </w:rPr>
        <w:t>p.</w:t>
      </w:r>
    </w:p>
    <w:p w14:paraId="2B48B1D9" w14:textId="77777777" w:rsidR="009D6F1F" w:rsidRPr="009D6F1F" w:rsidRDefault="009D6F1F" w:rsidP="009D6F1F">
      <w:pPr>
        <w:spacing w:after="0" w:line="240" w:lineRule="auto"/>
        <w:jc w:val="both"/>
        <w:rPr>
          <w:rFonts w:ascii="Times New Roman" w:hAnsi="Times New Roman" w:cs="Times New Roman"/>
          <w:sz w:val="28"/>
          <w:szCs w:val="28"/>
          <w:lang w:val="uk-UA"/>
        </w:rPr>
      </w:pPr>
    </w:p>
    <w:p w14:paraId="1EDBA647" w14:textId="77777777" w:rsidR="009D6F1F" w:rsidRPr="009D6F1F" w:rsidRDefault="002F631B" w:rsidP="002F631B">
      <w:pPr>
        <w:spacing w:after="0" w:line="240" w:lineRule="auto"/>
        <w:ind w:firstLine="709"/>
        <w:jc w:val="both"/>
        <w:rPr>
          <w:rFonts w:ascii="Times New Roman" w:hAnsi="Times New Roman" w:cs="Times New Roman"/>
          <w:sz w:val="28"/>
          <w:szCs w:val="28"/>
          <w:lang w:val="uk-UA"/>
        </w:rPr>
      </w:pPr>
      <w:r w:rsidRPr="002F631B">
        <w:rPr>
          <w:rFonts w:ascii="Times New Roman" w:hAnsi="Times New Roman" w:cs="Times New Roman"/>
          <w:sz w:val="28"/>
          <w:szCs w:val="28"/>
          <w:lang w:val="uk-UA"/>
        </w:rPr>
        <w:t>The qualification work reveals the constitutional principles of the Norwegian monarchy at the beginning of the 20th century. and determines the place of royal power in the system of public administration. The relationship of Haakon VII with the parliament and the government is analyzed, as well as his actions in crisis situations, in particular during the Second World War. The author of the work outlined the influence of Haakon VII's activities on the formation of the modern model of the Norwegian monarchy and examined the foreign policy priorities of Norway during his reign: from gaining independence, through the First World War, the interwar period and the Second World War, to post-war development. In addition, the work assesses the significance of Haakon VII's foreign policy activities for Norway's international image and the formation of a collective security system.</w:t>
      </w:r>
    </w:p>
    <w:p w14:paraId="6B86C077" w14:textId="77777777" w:rsidR="002F631B" w:rsidRDefault="002F631B" w:rsidP="009D6F1F">
      <w:pPr>
        <w:spacing w:after="0" w:line="240" w:lineRule="auto"/>
        <w:jc w:val="both"/>
        <w:rPr>
          <w:rFonts w:ascii="Times New Roman" w:hAnsi="Times New Roman" w:cs="Times New Roman"/>
          <w:b/>
          <w:sz w:val="28"/>
          <w:szCs w:val="28"/>
          <w:lang w:val="uk-UA"/>
        </w:rPr>
      </w:pPr>
    </w:p>
    <w:p w14:paraId="2B928ACB" w14:textId="77777777" w:rsidR="009D6F1F" w:rsidRPr="009D6F1F" w:rsidRDefault="009D6F1F" w:rsidP="009D6F1F">
      <w:pPr>
        <w:spacing w:after="0" w:line="240" w:lineRule="auto"/>
        <w:jc w:val="both"/>
        <w:rPr>
          <w:rFonts w:ascii="Times New Roman" w:hAnsi="Times New Roman" w:cs="Times New Roman"/>
          <w:sz w:val="28"/>
          <w:szCs w:val="28"/>
          <w:lang w:val="uk-UA"/>
        </w:rPr>
      </w:pPr>
      <w:r w:rsidRPr="009D6F1F">
        <w:rPr>
          <w:rFonts w:ascii="Times New Roman" w:hAnsi="Times New Roman" w:cs="Times New Roman"/>
          <w:b/>
          <w:sz w:val="28"/>
          <w:szCs w:val="28"/>
          <w:lang w:val="uk-UA"/>
        </w:rPr>
        <w:t>Key words:</w:t>
      </w:r>
      <w:r w:rsidRPr="009D6F1F">
        <w:rPr>
          <w:rFonts w:ascii="Times New Roman" w:hAnsi="Times New Roman" w:cs="Times New Roman"/>
          <w:sz w:val="28"/>
          <w:szCs w:val="28"/>
          <w:lang w:val="uk-UA"/>
        </w:rPr>
        <w:t xml:space="preserve"> Norway, World War I and World War II, constitutional monarchy, foreign policy, collective security system.</w:t>
      </w:r>
    </w:p>
    <w:sectPr w:rsidR="009D6F1F" w:rsidRPr="009D6F1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49B"/>
    <w:multiLevelType w:val="hybridMultilevel"/>
    <w:tmpl w:val="4310480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92152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7E"/>
    <w:rsid w:val="002F631B"/>
    <w:rsid w:val="00357E26"/>
    <w:rsid w:val="00532B3F"/>
    <w:rsid w:val="006355A4"/>
    <w:rsid w:val="009D6F1F"/>
    <w:rsid w:val="00BE6CE2"/>
    <w:rsid w:val="00D6437E"/>
    <w:rsid w:val="00D768DD"/>
    <w:rsid w:val="00DB0AF3"/>
    <w:rsid w:val="00F4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D120"/>
  <w15:chartTrackingRefBased/>
  <w15:docId w15:val="{56010B1D-4DD5-485C-BFD4-19EDCC81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8DD"/>
    <w:pPr>
      <w:spacing w:line="278" w:lineRule="auto"/>
      <w:ind w:left="720"/>
      <w:contextualSpacing/>
    </w:pPr>
    <w:rPr>
      <w:rFonts w:ascii="Times New Roman" w:hAnsi="Times New Roman" w:cstheme="majorBidi"/>
      <w:color w:val="000000" w:themeColor="text1"/>
      <w:kern w:val="2"/>
      <w:sz w:val="28"/>
      <w:szCs w:val="40"/>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800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Dmytro Demchan</cp:lastModifiedBy>
  <cp:revision>4</cp:revision>
  <dcterms:created xsi:type="dcterms:W3CDTF">2025-12-09T21:55:00Z</dcterms:created>
  <dcterms:modified xsi:type="dcterms:W3CDTF">2025-12-09T21:55:00Z</dcterms:modified>
</cp:coreProperties>
</file>