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4C149" w14:textId="56598E61" w:rsidR="002418FA" w:rsidRDefault="00AB25C1" w:rsidP="00B77609">
      <w:pPr>
        <w:jc w:val="center"/>
        <w:rPr>
          <w:rFonts w:ascii="Times New Roman" w:hAnsi="Times New Roman" w:cs="Times New Roman"/>
          <w:b/>
          <w:bCs/>
          <w:sz w:val="28"/>
          <w:szCs w:val="28"/>
        </w:rPr>
      </w:pPr>
      <w:r w:rsidRPr="00B77609">
        <w:rPr>
          <w:rFonts w:ascii="Times New Roman" w:hAnsi="Times New Roman" w:cs="Times New Roman"/>
          <w:b/>
          <w:bCs/>
          <w:sz w:val="28"/>
          <w:szCs w:val="28"/>
        </w:rPr>
        <w:t>АНОТАЦІЯ</w:t>
      </w:r>
    </w:p>
    <w:p w14:paraId="14D9DF8B" w14:textId="36E4F3E6" w:rsidR="00AB25C1" w:rsidRDefault="00AB25C1" w:rsidP="00AB25C1">
      <w:pPr>
        <w:ind w:firstLine="709"/>
        <w:jc w:val="both"/>
        <w:rPr>
          <w:rFonts w:ascii="Times New Roman" w:hAnsi="Times New Roman" w:cs="Times New Roman"/>
          <w:b/>
          <w:bCs/>
          <w:sz w:val="28"/>
          <w:szCs w:val="28"/>
        </w:rPr>
      </w:pPr>
      <w:r>
        <w:rPr>
          <w:rFonts w:ascii="Times New Roman" w:hAnsi="Times New Roman" w:cs="Times New Roman"/>
          <w:b/>
          <w:bCs/>
          <w:sz w:val="28"/>
          <w:szCs w:val="28"/>
        </w:rPr>
        <w:t>Мороз М. І</w:t>
      </w:r>
      <w:r w:rsidRPr="00AB25C1">
        <w:rPr>
          <w:rFonts w:ascii="Times New Roman" w:hAnsi="Times New Roman" w:cs="Times New Roman"/>
          <w:b/>
          <w:bCs/>
          <w:sz w:val="28"/>
          <w:szCs w:val="28"/>
        </w:rPr>
        <w:t>. </w:t>
      </w:r>
      <w:proofErr w:type="spellStart"/>
      <w:r w:rsidRPr="00AB25C1">
        <w:rPr>
          <w:rFonts w:ascii="Times New Roman" w:hAnsi="Times New Roman" w:cs="Times New Roman"/>
          <w:b/>
          <w:bCs/>
          <w:sz w:val="28"/>
          <w:szCs w:val="28"/>
        </w:rPr>
        <w:t>Юкіо</w:t>
      </w:r>
      <w:proofErr w:type="spellEnd"/>
      <w:r w:rsidRPr="00AB25C1">
        <w:rPr>
          <w:rFonts w:ascii="Times New Roman" w:hAnsi="Times New Roman" w:cs="Times New Roman"/>
          <w:b/>
          <w:bCs/>
          <w:sz w:val="28"/>
          <w:szCs w:val="28"/>
        </w:rPr>
        <w:t xml:space="preserve"> </w:t>
      </w:r>
      <w:proofErr w:type="spellStart"/>
      <w:r w:rsidRPr="00AB25C1">
        <w:rPr>
          <w:rFonts w:ascii="Times New Roman" w:hAnsi="Times New Roman" w:cs="Times New Roman"/>
          <w:b/>
          <w:bCs/>
          <w:sz w:val="28"/>
          <w:szCs w:val="28"/>
        </w:rPr>
        <w:t>Мішіма</w:t>
      </w:r>
      <w:proofErr w:type="spellEnd"/>
      <w:r w:rsidRPr="00AB25C1">
        <w:rPr>
          <w:rFonts w:ascii="Times New Roman" w:hAnsi="Times New Roman" w:cs="Times New Roman"/>
          <w:b/>
          <w:bCs/>
          <w:sz w:val="28"/>
          <w:szCs w:val="28"/>
        </w:rPr>
        <w:t xml:space="preserve"> як феномен японського націоналізму та культурної ідентичності післявоєнної Японії: історичний дискурс. Бакалаврська</w:t>
      </w:r>
      <w:r>
        <w:rPr>
          <w:rFonts w:ascii="Times New Roman" w:hAnsi="Times New Roman" w:cs="Times New Roman"/>
          <w:b/>
          <w:bCs/>
          <w:sz w:val="28"/>
          <w:szCs w:val="28"/>
        </w:rPr>
        <w:t xml:space="preserve"> </w:t>
      </w:r>
      <w:r w:rsidRPr="00AB25C1">
        <w:rPr>
          <w:rFonts w:ascii="Times New Roman" w:hAnsi="Times New Roman" w:cs="Times New Roman"/>
          <w:b/>
          <w:bCs/>
          <w:sz w:val="28"/>
          <w:szCs w:val="28"/>
        </w:rPr>
        <w:t>робота. Тернопільський національний педагогічний університет ім.</w:t>
      </w:r>
      <w:r>
        <w:rPr>
          <w:rFonts w:ascii="Times New Roman" w:hAnsi="Times New Roman" w:cs="Times New Roman"/>
          <w:b/>
          <w:bCs/>
          <w:sz w:val="28"/>
          <w:szCs w:val="28"/>
        </w:rPr>
        <w:t xml:space="preserve"> </w:t>
      </w:r>
      <w:r w:rsidRPr="00AB25C1">
        <w:rPr>
          <w:rFonts w:ascii="Times New Roman" w:hAnsi="Times New Roman" w:cs="Times New Roman"/>
          <w:b/>
          <w:bCs/>
          <w:sz w:val="28"/>
          <w:szCs w:val="28"/>
        </w:rPr>
        <w:t xml:space="preserve">В. Гнатюка. Тернопіль. 2026. </w:t>
      </w:r>
      <w:r>
        <w:rPr>
          <w:rFonts w:ascii="Times New Roman" w:hAnsi="Times New Roman" w:cs="Times New Roman"/>
          <w:b/>
          <w:bCs/>
          <w:sz w:val="28"/>
          <w:szCs w:val="28"/>
        </w:rPr>
        <w:t>62</w:t>
      </w:r>
      <w:r w:rsidRPr="00AB25C1">
        <w:rPr>
          <w:rFonts w:ascii="Times New Roman" w:hAnsi="Times New Roman" w:cs="Times New Roman"/>
          <w:b/>
          <w:bCs/>
          <w:sz w:val="28"/>
          <w:szCs w:val="28"/>
        </w:rPr>
        <w:t xml:space="preserve"> с.</w:t>
      </w:r>
      <w:r w:rsidR="00B77609">
        <w:rPr>
          <w:rFonts w:ascii="Times New Roman" w:hAnsi="Times New Roman" w:cs="Times New Roman"/>
          <w:b/>
          <w:bCs/>
          <w:sz w:val="28"/>
          <w:szCs w:val="28"/>
        </w:rPr>
        <w:t xml:space="preserve"> </w:t>
      </w:r>
    </w:p>
    <w:p w14:paraId="460DECD6" w14:textId="0639C608" w:rsidR="00B77609" w:rsidRDefault="002569BD" w:rsidP="00AB25C1">
      <w:pPr>
        <w:ind w:firstLine="709"/>
        <w:jc w:val="both"/>
        <w:rPr>
          <w:rFonts w:ascii="Times New Roman" w:hAnsi="Times New Roman" w:cs="Times New Roman"/>
          <w:sz w:val="28"/>
          <w:szCs w:val="28"/>
        </w:rPr>
      </w:pPr>
      <w:r>
        <w:rPr>
          <w:rFonts w:ascii="Times New Roman" w:hAnsi="Times New Roman" w:cs="Times New Roman"/>
          <w:sz w:val="28"/>
          <w:szCs w:val="28"/>
        </w:rPr>
        <w:t xml:space="preserve">Бакалаврська </w:t>
      </w:r>
      <w:r w:rsidR="00B77609" w:rsidRPr="00B77609">
        <w:rPr>
          <w:rFonts w:ascii="Times New Roman" w:hAnsi="Times New Roman" w:cs="Times New Roman"/>
          <w:sz w:val="28"/>
          <w:szCs w:val="28"/>
        </w:rPr>
        <w:t xml:space="preserve">робота присвячена комплексному історичному аналізу постаті </w:t>
      </w:r>
      <w:proofErr w:type="spellStart"/>
      <w:r w:rsidR="00B77609" w:rsidRPr="00B77609">
        <w:rPr>
          <w:rFonts w:ascii="Times New Roman" w:hAnsi="Times New Roman" w:cs="Times New Roman"/>
          <w:sz w:val="28"/>
          <w:szCs w:val="28"/>
        </w:rPr>
        <w:t>Юкіо</w:t>
      </w:r>
      <w:proofErr w:type="spellEnd"/>
      <w:r w:rsidR="00B77609" w:rsidRPr="00B77609">
        <w:rPr>
          <w:rFonts w:ascii="Times New Roman" w:hAnsi="Times New Roman" w:cs="Times New Roman"/>
          <w:sz w:val="28"/>
          <w:szCs w:val="28"/>
        </w:rPr>
        <w:t xml:space="preserve"> </w:t>
      </w:r>
      <w:proofErr w:type="spellStart"/>
      <w:r w:rsidR="00B77609" w:rsidRPr="00B77609">
        <w:rPr>
          <w:rFonts w:ascii="Times New Roman" w:hAnsi="Times New Roman" w:cs="Times New Roman"/>
          <w:sz w:val="28"/>
          <w:szCs w:val="28"/>
        </w:rPr>
        <w:t>Мішіми</w:t>
      </w:r>
      <w:proofErr w:type="spellEnd"/>
      <w:r w:rsidR="00B77609" w:rsidRPr="00B77609">
        <w:rPr>
          <w:rFonts w:ascii="Times New Roman" w:hAnsi="Times New Roman" w:cs="Times New Roman"/>
          <w:sz w:val="28"/>
          <w:szCs w:val="28"/>
        </w:rPr>
        <w:t xml:space="preserve"> як унікального суспільно-політичного та культурного феномену післявоєнної Японії в період з 1946 по 1970 роки. Актуальність дослідження зумовлена сучасним ренесансом правих ідей, посиленням націоналістичних тенденцій у японському соціумі та світовим інтересом до інтелектуального спадку митця, а також необхідністю інтеграції подібних складних біографічних кейсів у шкільний курс історії для розвитку критичного мислення та громадянської компетентності учнів. Метою праці є </w:t>
      </w:r>
      <w:proofErr w:type="spellStart"/>
      <w:r w:rsidR="00B77609" w:rsidRPr="00B77609">
        <w:rPr>
          <w:rFonts w:ascii="Times New Roman" w:hAnsi="Times New Roman" w:cs="Times New Roman"/>
          <w:sz w:val="28"/>
          <w:szCs w:val="28"/>
        </w:rPr>
        <w:t>деконструкція</w:t>
      </w:r>
      <w:proofErr w:type="spellEnd"/>
      <w:r w:rsidR="00B77609" w:rsidRPr="00B77609">
        <w:rPr>
          <w:rFonts w:ascii="Times New Roman" w:hAnsi="Times New Roman" w:cs="Times New Roman"/>
          <w:sz w:val="28"/>
          <w:szCs w:val="28"/>
        </w:rPr>
        <w:t xml:space="preserve"> ідеологічної еволюції </w:t>
      </w:r>
      <w:proofErr w:type="spellStart"/>
      <w:r w:rsidR="00B77609" w:rsidRPr="00B77609">
        <w:rPr>
          <w:rFonts w:ascii="Times New Roman" w:hAnsi="Times New Roman" w:cs="Times New Roman"/>
          <w:sz w:val="28"/>
          <w:szCs w:val="28"/>
        </w:rPr>
        <w:t>Мішіми</w:t>
      </w:r>
      <w:proofErr w:type="spellEnd"/>
      <w:r w:rsidR="00B77609" w:rsidRPr="00B77609">
        <w:rPr>
          <w:rFonts w:ascii="Times New Roman" w:hAnsi="Times New Roman" w:cs="Times New Roman"/>
          <w:sz w:val="28"/>
          <w:szCs w:val="28"/>
        </w:rPr>
        <w:t xml:space="preserve">, виявлення передумов, етапів та наслідків формування його правого радикалізму в умовах післявоєнної американської окупації та соціокультурного зламу. Об’єктом дослідження виступає трансформація японського націоналізму та пошук нової ідентичності в другій половині ХХ століття, тоді як предметом є літературна, публіцистична та мілітаризована діяльність мислителя як інструмент спротиву </w:t>
      </w:r>
      <w:proofErr w:type="spellStart"/>
      <w:r w:rsidR="00B77609" w:rsidRPr="00B77609">
        <w:rPr>
          <w:rFonts w:ascii="Times New Roman" w:hAnsi="Times New Roman" w:cs="Times New Roman"/>
          <w:sz w:val="28"/>
          <w:szCs w:val="28"/>
        </w:rPr>
        <w:t>вестернізації</w:t>
      </w:r>
      <w:proofErr w:type="spellEnd"/>
      <w:r w:rsidR="00B77609" w:rsidRPr="00B77609">
        <w:rPr>
          <w:rFonts w:ascii="Times New Roman" w:hAnsi="Times New Roman" w:cs="Times New Roman"/>
          <w:sz w:val="28"/>
          <w:szCs w:val="28"/>
        </w:rPr>
        <w:t xml:space="preserve">. Методологічну основу склали історико-генетичний, історико-типологічний, біографічний та порівняльний методи, а також дискурс-аналіз </w:t>
      </w:r>
      <w:proofErr w:type="spellStart"/>
      <w:r w:rsidR="00B77609" w:rsidRPr="00B77609">
        <w:rPr>
          <w:rFonts w:ascii="Times New Roman" w:hAnsi="Times New Roman" w:cs="Times New Roman"/>
          <w:sz w:val="28"/>
          <w:szCs w:val="28"/>
        </w:rPr>
        <w:t>есеїстики</w:t>
      </w:r>
      <w:proofErr w:type="spellEnd"/>
      <w:r w:rsidR="00B77609" w:rsidRPr="00B77609">
        <w:rPr>
          <w:rFonts w:ascii="Times New Roman" w:hAnsi="Times New Roman" w:cs="Times New Roman"/>
          <w:sz w:val="28"/>
          <w:szCs w:val="28"/>
        </w:rPr>
        <w:t xml:space="preserve"> та </w:t>
      </w:r>
      <w:proofErr w:type="spellStart"/>
      <w:r w:rsidR="00B77609" w:rsidRPr="00B77609">
        <w:rPr>
          <w:rFonts w:ascii="Times New Roman" w:hAnsi="Times New Roman" w:cs="Times New Roman"/>
          <w:sz w:val="28"/>
          <w:szCs w:val="28"/>
        </w:rPr>
        <w:t>герменевтичний</w:t>
      </w:r>
      <w:proofErr w:type="spellEnd"/>
      <w:r w:rsidR="00B77609" w:rsidRPr="00B77609">
        <w:rPr>
          <w:rFonts w:ascii="Times New Roman" w:hAnsi="Times New Roman" w:cs="Times New Roman"/>
          <w:sz w:val="28"/>
          <w:szCs w:val="28"/>
        </w:rPr>
        <w:t xml:space="preserve"> аналіз прози письменника. Структурно</w:t>
      </w:r>
      <w:r w:rsidR="005B5252">
        <w:rPr>
          <w:rFonts w:ascii="Times New Roman" w:hAnsi="Times New Roman" w:cs="Times New Roman"/>
          <w:sz w:val="28"/>
          <w:szCs w:val="28"/>
        </w:rPr>
        <w:t xml:space="preserve"> бакалаврська</w:t>
      </w:r>
      <w:r w:rsidR="00B77609" w:rsidRPr="00B77609">
        <w:rPr>
          <w:rFonts w:ascii="Times New Roman" w:hAnsi="Times New Roman" w:cs="Times New Roman"/>
          <w:sz w:val="28"/>
          <w:szCs w:val="28"/>
        </w:rPr>
        <w:t xml:space="preserve"> робота складається зі вступу, чотирьох </w:t>
      </w:r>
      <w:proofErr w:type="spellStart"/>
      <w:r w:rsidR="00B77609" w:rsidRPr="00B77609">
        <w:rPr>
          <w:rFonts w:ascii="Times New Roman" w:hAnsi="Times New Roman" w:cs="Times New Roman"/>
          <w:sz w:val="28"/>
          <w:szCs w:val="28"/>
        </w:rPr>
        <w:t>логічно</w:t>
      </w:r>
      <w:proofErr w:type="spellEnd"/>
      <w:r w:rsidR="00B77609" w:rsidRPr="00B77609">
        <w:rPr>
          <w:rFonts w:ascii="Times New Roman" w:hAnsi="Times New Roman" w:cs="Times New Roman"/>
          <w:sz w:val="28"/>
          <w:szCs w:val="28"/>
        </w:rPr>
        <w:t xml:space="preserve"> пов'язаних розділів (присвячених історіографії, зародженню світогляду у 1946–1959 рр., радикалізації та створенню «</w:t>
      </w:r>
      <w:proofErr w:type="spellStart"/>
      <w:r w:rsidR="00B77609" w:rsidRPr="00B77609">
        <w:rPr>
          <w:rFonts w:ascii="Times New Roman" w:hAnsi="Times New Roman" w:cs="Times New Roman"/>
          <w:sz w:val="28"/>
          <w:szCs w:val="28"/>
        </w:rPr>
        <w:t>Татенокай</w:t>
      </w:r>
      <w:proofErr w:type="spellEnd"/>
      <w:r w:rsidR="00B77609" w:rsidRPr="00B77609">
        <w:rPr>
          <w:rFonts w:ascii="Times New Roman" w:hAnsi="Times New Roman" w:cs="Times New Roman"/>
          <w:sz w:val="28"/>
          <w:szCs w:val="28"/>
        </w:rPr>
        <w:t xml:space="preserve">» у 1960–1970 рр., а також методиці викладання теми в школі), висновків та списку використаних джерел із 85 найменувань. У результаті дослідження вперше в вітчизняній науці з позицій історизму доведено, що естетичні концепції </w:t>
      </w:r>
      <w:proofErr w:type="spellStart"/>
      <w:r w:rsidR="00B77609" w:rsidRPr="00B77609">
        <w:rPr>
          <w:rFonts w:ascii="Times New Roman" w:hAnsi="Times New Roman" w:cs="Times New Roman"/>
          <w:sz w:val="28"/>
          <w:szCs w:val="28"/>
        </w:rPr>
        <w:t>Мішіми</w:t>
      </w:r>
      <w:proofErr w:type="spellEnd"/>
      <w:r w:rsidR="00B77609" w:rsidRPr="00B77609">
        <w:rPr>
          <w:rFonts w:ascii="Times New Roman" w:hAnsi="Times New Roman" w:cs="Times New Roman"/>
          <w:sz w:val="28"/>
          <w:szCs w:val="28"/>
        </w:rPr>
        <w:t xml:space="preserve">, зокрема культ тіла та смерті, були не просто творчим епатажем, а раціональною спробою реконструкції традиційного самурайського суспільства й захисту культурного коду від руйнівного впливу західного споживацтва. Практичне значення результатів полягає в можливості їх безпосереднього впровадження при створенні інтерактивних дидактичних матеріалів для 10–11 класів, розробці спецкурсів зі сходознавства, проведенні студентських наукових семінарів та подальшому дослідженні </w:t>
      </w:r>
      <w:proofErr w:type="spellStart"/>
      <w:r w:rsidR="00B77609" w:rsidRPr="00B77609">
        <w:rPr>
          <w:rFonts w:ascii="Times New Roman" w:hAnsi="Times New Roman" w:cs="Times New Roman"/>
          <w:sz w:val="28"/>
          <w:szCs w:val="28"/>
        </w:rPr>
        <w:t>праворадикальних</w:t>
      </w:r>
      <w:proofErr w:type="spellEnd"/>
      <w:r w:rsidR="00B77609" w:rsidRPr="00B77609">
        <w:rPr>
          <w:rFonts w:ascii="Times New Roman" w:hAnsi="Times New Roman" w:cs="Times New Roman"/>
          <w:sz w:val="28"/>
          <w:szCs w:val="28"/>
        </w:rPr>
        <w:t xml:space="preserve"> рухів </w:t>
      </w:r>
      <w:r w:rsidR="00275C4D">
        <w:rPr>
          <w:rFonts w:ascii="Times New Roman" w:hAnsi="Times New Roman" w:cs="Times New Roman"/>
          <w:sz w:val="28"/>
          <w:szCs w:val="28"/>
        </w:rPr>
        <w:t>Східної Азії</w:t>
      </w:r>
      <w:r w:rsidR="00B77609" w:rsidRPr="00B77609">
        <w:rPr>
          <w:rFonts w:ascii="Times New Roman" w:hAnsi="Times New Roman" w:cs="Times New Roman"/>
          <w:sz w:val="28"/>
          <w:szCs w:val="28"/>
        </w:rPr>
        <w:t>.</w:t>
      </w:r>
    </w:p>
    <w:p w14:paraId="33EE4027" w14:textId="6FE3A7B4" w:rsidR="00B77609" w:rsidRPr="005B5252" w:rsidRDefault="00B77609" w:rsidP="00AB25C1">
      <w:pPr>
        <w:ind w:firstLine="709"/>
        <w:jc w:val="both"/>
        <w:rPr>
          <w:rFonts w:ascii="Times New Roman" w:hAnsi="Times New Roman" w:cs="Times New Roman"/>
          <w:iCs/>
          <w:sz w:val="28"/>
          <w:szCs w:val="28"/>
        </w:rPr>
      </w:pPr>
      <w:r w:rsidRPr="00B77609">
        <w:rPr>
          <w:rFonts w:ascii="Times New Roman" w:hAnsi="Times New Roman" w:cs="Times New Roman"/>
          <w:b/>
          <w:bCs/>
          <w:sz w:val="28"/>
          <w:szCs w:val="28"/>
        </w:rPr>
        <w:t>Ключові слова</w:t>
      </w:r>
      <w:r w:rsidRPr="005B5252">
        <w:rPr>
          <w:rFonts w:ascii="Times New Roman" w:hAnsi="Times New Roman" w:cs="Times New Roman"/>
          <w:b/>
          <w:bCs/>
          <w:sz w:val="28"/>
          <w:szCs w:val="28"/>
        </w:rPr>
        <w:t>:</w:t>
      </w:r>
      <w:r w:rsidRPr="005B5252">
        <w:rPr>
          <w:rFonts w:ascii="Times New Roman" w:hAnsi="Times New Roman" w:cs="Times New Roman"/>
          <w:sz w:val="28"/>
          <w:szCs w:val="28"/>
        </w:rPr>
        <w:t xml:space="preserve"> </w:t>
      </w:r>
      <w:proofErr w:type="spellStart"/>
      <w:r w:rsidRPr="005B5252">
        <w:rPr>
          <w:rFonts w:ascii="Times New Roman" w:hAnsi="Times New Roman" w:cs="Times New Roman"/>
          <w:iCs/>
          <w:sz w:val="28"/>
          <w:szCs w:val="28"/>
        </w:rPr>
        <w:t>Юкіо</w:t>
      </w:r>
      <w:proofErr w:type="spellEnd"/>
      <w:r w:rsidRPr="005B5252">
        <w:rPr>
          <w:rFonts w:ascii="Times New Roman" w:hAnsi="Times New Roman" w:cs="Times New Roman"/>
          <w:iCs/>
          <w:sz w:val="28"/>
          <w:szCs w:val="28"/>
        </w:rPr>
        <w:t xml:space="preserve"> </w:t>
      </w:r>
      <w:proofErr w:type="spellStart"/>
      <w:r w:rsidRPr="005B5252">
        <w:rPr>
          <w:rFonts w:ascii="Times New Roman" w:hAnsi="Times New Roman" w:cs="Times New Roman"/>
          <w:iCs/>
          <w:sz w:val="28"/>
          <w:szCs w:val="28"/>
        </w:rPr>
        <w:t>Мішіма</w:t>
      </w:r>
      <w:proofErr w:type="spellEnd"/>
      <w:r w:rsidRPr="005B5252">
        <w:rPr>
          <w:rFonts w:ascii="Times New Roman" w:hAnsi="Times New Roman" w:cs="Times New Roman"/>
          <w:iCs/>
          <w:sz w:val="28"/>
          <w:szCs w:val="28"/>
        </w:rPr>
        <w:t>, японський націоналізм, культурна ідентичність, повоєнний нігілізм, Товариство щита («</w:t>
      </w:r>
      <w:proofErr w:type="spellStart"/>
      <w:r w:rsidRPr="005B5252">
        <w:rPr>
          <w:rFonts w:ascii="Times New Roman" w:hAnsi="Times New Roman" w:cs="Times New Roman"/>
          <w:iCs/>
          <w:sz w:val="28"/>
          <w:szCs w:val="28"/>
        </w:rPr>
        <w:t>Татенокай</w:t>
      </w:r>
      <w:proofErr w:type="spellEnd"/>
      <w:r w:rsidRPr="005B5252">
        <w:rPr>
          <w:rFonts w:ascii="Times New Roman" w:hAnsi="Times New Roman" w:cs="Times New Roman"/>
          <w:iCs/>
          <w:sz w:val="28"/>
          <w:szCs w:val="28"/>
        </w:rPr>
        <w:t>»), традиціоналізм, історичний дискурс.</w:t>
      </w:r>
    </w:p>
    <w:p w14:paraId="6D5A64F2" w14:textId="77777777" w:rsidR="00AB25C1" w:rsidRDefault="00AB25C1" w:rsidP="00B77609">
      <w:pPr>
        <w:ind w:firstLine="709"/>
        <w:jc w:val="center"/>
        <w:rPr>
          <w:rFonts w:ascii="Times New Roman" w:hAnsi="Times New Roman" w:cs="Times New Roman"/>
          <w:b/>
          <w:bCs/>
          <w:sz w:val="28"/>
          <w:szCs w:val="28"/>
        </w:rPr>
      </w:pPr>
    </w:p>
    <w:p w14:paraId="73FF0275" w14:textId="6C0EEB87" w:rsidR="00B77609" w:rsidRDefault="002569BD" w:rsidP="002569BD">
      <w:pPr>
        <w:ind w:firstLine="709"/>
        <w:jc w:val="center"/>
        <w:rPr>
          <w:rFonts w:ascii="Times New Roman" w:hAnsi="Times New Roman" w:cs="Times New Roman"/>
          <w:b/>
          <w:bCs/>
          <w:sz w:val="28"/>
          <w:szCs w:val="28"/>
        </w:rPr>
      </w:pPr>
      <w:r w:rsidRPr="002569BD">
        <w:rPr>
          <w:rFonts w:ascii="Times New Roman" w:hAnsi="Times New Roman" w:cs="Times New Roman"/>
          <w:b/>
          <w:bCs/>
          <w:sz w:val="28"/>
          <w:szCs w:val="28"/>
        </w:rPr>
        <w:lastRenderedPageBreak/>
        <w:t>ABSTRACT</w:t>
      </w:r>
    </w:p>
    <w:p w14:paraId="704ADE4F" w14:textId="772E8C67" w:rsidR="002569BD" w:rsidRDefault="002569BD" w:rsidP="002569BD">
      <w:pPr>
        <w:ind w:firstLine="709"/>
        <w:jc w:val="both"/>
        <w:rPr>
          <w:rFonts w:ascii="Times New Roman" w:hAnsi="Times New Roman" w:cs="Times New Roman"/>
          <w:b/>
          <w:bCs/>
          <w:sz w:val="28"/>
          <w:szCs w:val="28"/>
        </w:rPr>
      </w:pPr>
      <w:r w:rsidRPr="002569BD">
        <w:rPr>
          <w:rFonts w:ascii="Times New Roman" w:hAnsi="Times New Roman" w:cs="Times New Roman"/>
          <w:b/>
          <w:bCs/>
          <w:sz w:val="28"/>
          <w:szCs w:val="28"/>
          <w:lang w:val="en-US"/>
        </w:rPr>
        <w:t xml:space="preserve">Moroz M. I. Yukio Mishima as a phenomenon of Japanese nationalism and cultural identity </w:t>
      </w:r>
      <w:r w:rsidR="005057C3">
        <w:rPr>
          <w:rFonts w:ascii="Times New Roman" w:hAnsi="Times New Roman" w:cs="Times New Roman"/>
          <w:b/>
          <w:bCs/>
          <w:sz w:val="28"/>
          <w:szCs w:val="28"/>
          <w:lang w:val="en-US"/>
        </w:rPr>
        <w:t>in the</w:t>
      </w:r>
      <w:r w:rsidRPr="002569BD">
        <w:rPr>
          <w:rFonts w:ascii="Times New Roman" w:hAnsi="Times New Roman" w:cs="Times New Roman"/>
          <w:b/>
          <w:bCs/>
          <w:sz w:val="28"/>
          <w:szCs w:val="28"/>
          <w:lang w:val="en-US"/>
        </w:rPr>
        <w:t xml:space="preserve"> post-war Japan:</w:t>
      </w:r>
      <w:r w:rsidR="005057C3">
        <w:rPr>
          <w:rFonts w:ascii="Times New Roman" w:hAnsi="Times New Roman" w:cs="Times New Roman"/>
          <w:b/>
          <w:bCs/>
          <w:sz w:val="28"/>
          <w:szCs w:val="28"/>
          <w:lang w:val="en-US"/>
        </w:rPr>
        <w:t xml:space="preserve"> a</w:t>
      </w:r>
      <w:r w:rsidRPr="002569BD">
        <w:rPr>
          <w:rFonts w:ascii="Times New Roman" w:hAnsi="Times New Roman" w:cs="Times New Roman"/>
          <w:b/>
          <w:bCs/>
          <w:sz w:val="28"/>
          <w:szCs w:val="28"/>
          <w:lang w:val="en-US"/>
        </w:rPr>
        <w:t xml:space="preserve"> historical discourse. Bachelor's thesis. Ternopil Volodymyr </w:t>
      </w:r>
      <w:proofErr w:type="spellStart"/>
      <w:r w:rsidRPr="002569BD">
        <w:rPr>
          <w:rFonts w:ascii="Times New Roman" w:hAnsi="Times New Roman" w:cs="Times New Roman"/>
          <w:b/>
          <w:bCs/>
          <w:sz w:val="28"/>
          <w:szCs w:val="28"/>
          <w:lang w:val="en-US"/>
        </w:rPr>
        <w:t>Hnatiuk</w:t>
      </w:r>
      <w:proofErr w:type="spellEnd"/>
      <w:r w:rsidRPr="002569BD">
        <w:rPr>
          <w:rFonts w:ascii="Times New Roman" w:hAnsi="Times New Roman" w:cs="Times New Roman"/>
          <w:b/>
          <w:bCs/>
          <w:sz w:val="28"/>
          <w:szCs w:val="28"/>
          <w:lang w:val="en-US"/>
        </w:rPr>
        <w:t xml:space="preserve"> National Pedagogical University. Ternopil. 2026. 62 p.</w:t>
      </w:r>
    </w:p>
    <w:p w14:paraId="3C667055" w14:textId="39C68CE7" w:rsidR="002569BD" w:rsidRDefault="002569BD" w:rsidP="002569BD">
      <w:pPr>
        <w:ind w:firstLine="709"/>
        <w:jc w:val="both"/>
        <w:rPr>
          <w:rFonts w:ascii="Times New Roman" w:hAnsi="Times New Roman" w:cs="Times New Roman"/>
          <w:sz w:val="28"/>
          <w:szCs w:val="28"/>
        </w:rPr>
      </w:pPr>
      <w:r w:rsidRPr="002569BD">
        <w:rPr>
          <w:rFonts w:ascii="Times New Roman" w:hAnsi="Times New Roman" w:cs="Times New Roman"/>
          <w:sz w:val="28"/>
          <w:szCs w:val="28"/>
          <w:lang w:val="en-US"/>
        </w:rPr>
        <w:t xml:space="preserve">The bachelor's thesis is devoted to a comprehensive historical analysis of the figure of Yukio Mishima as a unique socio-political and cultural phenomenon of post-war Japan in the period from 1946 to 1970. The relevance of the study is </w:t>
      </w:r>
      <w:r w:rsidR="00275C4D" w:rsidRPr="00275C4D">
        <w:rPr>
          <w:rFonts w:ascii="Times New Roman" w:hAnsi="Times New Roman" w:cs="Times New Roman"/>
          <w:sz w:val="28"/>
          <w:szCs w:val="28"/>
          <w:lang w:val="en-US"/>
        </w:rPr>
        <w:t>determined</w:t>
      </w:r>
      <w:r w:rsidRPr="002569BD">
        <w:rPr>
          <w:rFonts w:ascii="Times New Roman" w:hAnsi="Times New Roman" w:cs="Times New Roman"/>
          <w:sz w:val="28"/>
          <w:szCs w:val="28"/>
          <w:lang w:val="en-US"/>
        </w:rPr>
        <w:t xml:space="preserve"> by the modern renaissance of right-wing ideas, the strengthening of nationalist tendencies in Japanese society, and the global interest in the intellectual legacy of the artist, as well as the need to integrate such complex biographical cases into the school history course for the development of students' critical thinking and civic competence. </w:t>
      </w:r>
      <w:r w:rsidR="00275C4D" w:rsidRPr="00275C4D">
        <w:rPr>
          <w:rFonts w:ascii="Times New Roman" w:hAnsi="Times New Roman" w:cs="Times New Roman"/>
          <w:sz w:val="28"/>
          <w:szCs w:val="28"/>
          <w:lang w:val="en-US"/>
        </w:rPr>
        <w:t>The aim of the study is to deconstruct</w:t>
      </w:r>
      <w:r w:rsidRPr="002569BD">
        <w:rPr>
          <w:rFonts w:ascii="Times New Roman" w:hAnsi="Times New Roman" w:cs="Times New Roman"/>
          <w:sz w:val="28"/>
          <w:szCs w:val="28"/>
          <w:lang w:val="en-US"/>
        </w:rPr>
        <w:t xml:space="preserve"> Mishima's ideological evolution</w:t>
      </w:r>
      <w:r w:rsidR="00BF059A">
        <w:rPr>
          <w:rFonts w:ascii="Times New Roman" w:hAnsi="Times New Roman" w:cs="Times New Roman"/>
          <w:sz w:val="28"/>
          <w:szCs w:val="28"/>
          <w:lang w:val="en-US"/>
        </w:rPr>
        <w:t xml:space="preserve"> and to identify</w:t>
      </w:r>
      <w:r w:rsidRPr="002569BD">
        <w:rPr>
          <w:rFonts w:ascii="Times New Roman" w:hAnsi="Times New Roman" w:cs="Times New Roman"/>
          <w:sz w:val="28"/>
          <w:szCs w:val="28"/>
          <w:lang w:val="en-US"/>
        </w:rPr>
        <w:t xml:space="preserve"> </w:t>
      </w:r>
      <w:r w:rsidR="00BF059A">
        <w:rPr>
          <w:rFonts w:ascii="Times New Roman" w:hAnsi="Times New Roman" w:cs="Times New Roman"/>
          <w:sz w:val="28"/>
          <w:szCs w:val="28"/>
          <w:lang w:val="en-US"/>
        </w:rPr>
        <w:t>the</w:t>
      </w:r>
      <w:r w:rsidRPr="002569BD">
        <w:rPr>
          <w:rFonts w:ascii="Times New Roman" w:hAnsi="Times New Roman" w:cs="Times New Roman"/>
          <w:sz w:val="28"/>
          <w:szCs w:val="28"/>
          <w:lang w:val="en-US"/>
        </w:rPr>
        <w:t xml:space="preserve"> preconditions, stages, and consequences of the formation of his right-wing radicalism in the conditions of the post-war American occupation and socio-cultural breakdown. The object of the study is the transformation of Japanese nationalism and the search for a new identity in the second half of the twentieth century, while the subject is the literary, journalistic, and </w:t>
      </w:r>
      <w:r w:rsidR="00275C4D" w:rsidRPr="00275C4D">
        <w:rPr>
          <w:rFonts w:ascii="Times New Roman" w:hAnsi="Times New Roman" w:cs="Times New Roman"/>
          <w:sz w:val="28"/>
          <w:szCs w:val="28"/>
          <w:lang w:val="en-US"/>
        </w:rPr>
        <w:t>paramilitary activity</w:t>
      </w:r>
      <w:r w:rsidR="00BF059A">
        <w:rPr>
          <w:rFonts w:ascii="Times New Roman" w:hAnsi="Times New Roman" w:cs="Times New Roman"/>
          <w:sz w:val="28"/>
          <w:szCs w:val="28"/>
          <w:lang w:val="en-US"/>
        </w:rPr>
        <w:t xml:space="preserve"> of the thinker</w:t>
      </w:r>
      <w:r w:rsidRPr="002569BD">
        <w:rPr>
          <w:rFonts w:ascii="Times New Roman" w:hAnsi="Times New Roman" w:cs="Times New Roman"/>
          <w:sz w:val="28"/>
          <w:szCs w:val="28"/>
          <w:lang w:val="en-US"/>
        </w:rPr>
        <w:t xml:space="preserve"> as a tool of resistance to westernization. The methodological basis consists of historical-genetic, historical-typological, biographical, and comparative methods, as well as discourse analysis of the writer's essayistic works and hermeneutic analysis of his prose.</w:t>
      </w:r>
      <w:r>
        <w:rPr>
          <w:rFonts w:ascii="Times New Roman" w:hAnsi="Times New Roman" w:cs="Times New Roman"/>
          <w:sz w:val="28"/>
          <w:szCs w:val="28"/>
        </w:rPr>
        <w:t xml:space="preserve"> </w:t>
      </w:r>
      <w:r w:rsidRPr="002569BD">
        <w:rPr>
          <w:rFonts w:ascii="Times New Roman" w:hAnsi="Times New Roman" w:cs="Times New Roman"/>
          <w:sz w:val="28"/>
          <w:szCs w:val="28"/>
          <w:lang w:val="en-US"/>
        </w:rPr>
        <w:t>Structurally, the bachelor's thesis consists of an introduction, four logically connected chapters (dedicated to historiography, the genesis of the worldview in 1946–1959, radicalization and the creation of "</w:t>
      </w:r>
      <w:proofErr w:type="spellStart"/>
      <w:r w:rsidRPr="002569BD">
        <w:rPr>
          <w:rFonts w:ascii="Times New Roman" w:hAnsi="Times New Roman" w:cs="Times New Roman"/>
          <w:sz w:val="28"/>
          <w:szCs w:val="28"/>
          <w:lang w:val="en-US"/>
        </w:rPr>
        <w:t>Tatenokai</w:t>
      </w:r>
      <w:proofErr w:type="spellEnd"/>
      <w:r w:rsidRPr="002569BD">
        <w:rPr>
          <w:rFonts w:ascii="Times New Roman" w:hAnsi="Times New Roman" w:cs="Times New Roman"/>
          <w:sz w:val="28"/>
          <w:szCs w:val="28"/>
          <w:lang w:val="en-US"/>
        </w:rPr>
        <w:t xml:space="preserve">" in 1960–1970, as well as the methodology of teaching the topic in school), conclusions, and a </w:t>
      </w:r>
      <w:r w:rsidR="00275C4D" w:rsidRPr="00275C4D">
        <w:rPr>
          <w:rFonts w:ascii="Times New Roman" w:hAnsi="Times New Roman" w:cs="Times New Roman"/>
          <w:sz w:val="28"/>
          <w:szCs w:val="28"/>
          <w:lang w:val="en-US"/>
        </w:rPr>
        <w:t>list of references</w:t>
      </w:r>
      <w:r w:rsidRPr="002569BD">
        <w:rPr>
          <w:rFonts w:ascii="Times New Roman" w:hAnsi="Times New Roman" w:cs="Times New Roman"/>
          <w:sz w:val="28"/>
          <w:szCs w:val="28"/>
          <w:lang w:val="en-US"/>
        </w:rPr>
        <w:t xml:space="preserve"> comprising 85 items. As a result of the study, </w:t>
      </w:r>
      <w:r w:rsidR="00275C4D" w:rsidRPr="00275C4D">
        <w:rPr>
          <w:rFonts w:ascii="Times New Roman" w:hAnsi="Times New Roman" w:cs="Times New Roman"/>
          <w:sz w:val="28"/>
          <w:szCs w:val="28"/>
          <w:lang w:val="en-US"/>
        </w:rPr>
        <w:t>for the first time in Ukrainian historiography</w:t>
      </w:r>
      <w:r w:rsidRPr="002569BD">
        <w:rPr>
          <w:rFonts w:ascii="Times New Roman" w:hAnsi="Times New Roman" w:cs="Times New Roman"/>
          <w:sz w:val="28"/>
          <w:szCs w:val="28"/>
          <w:lang w:val="en-US"/>
        </w:rPr>
        <w:t xml:space="preserve"> from the standpoint of historicism, it is proven that Mishima's aesthetic concepts, in particular the cult of the body and death, were </w:t>
      </w:r>
      <w:r w:rsidR="00275C4D" w:rsidRPr="00275C4D">
        <w:rPr>
          <w:rFonts w:ascii="Times New Roman" w:hAnsi="Times New Roman" w:cs="Times New Roman"/>
          <w:sz w:val="28"/>
          <w:szCs w:val="28"/>
          <w:lang w:val="en-US"/>
        </w:rPr>
        <w:t>not merely a form of artistic provocation</w:t>
      </w:r>
      <w:r w:rsidRPr="002569BD">
        <w:rPr>
          <w:rFonts w:ascii="Times New Roman" w:hAnsi="Times New Roman" w:cs="Times New Roman"/>
          <w:sz w:val="28"/>
          <w:szCs w:val="28"/>
          <w:lang w:val="en-US"/>
        </w:rPr>
        <w:t xml:space="preserve">, but a rational attempt to </w:t>
      </w:r>
      <w:r w:rsidR="00275C4D" w:rsidRPr="00275C4D">
        <w:rPr>
          <w:rFonts w:ascii="Times New Roman" w:hAnsi="Times New Roman" w:cs="Times New Roman"/>
          <w:sz w:val="28"/>
          <w:szCs w:val="28"/>
          <w:lang w:val="en-US"/>
        </w:rPr>
        <w:t>revive traditional samurai values</w:t>
      </w:r>
      <w:r w:rsidRPr="002569BD">
        <w:rPr>
          <w:rFonts w:ascii="Times New Roman" w:hAnsi="Times New Roman" w:cs="Times New Roman"/>
          <w:sz w:val="28"/>
          <w:szCs w:val="28"/>
          <w:lang w:val="en-US"/>
        </w:rPr>
        <w:t xml:space="preserve"> and protect the cultural code from the destructive influence of Western consumerism. The practical significance of the results lies in the possibility of their direct implementation when creating interactive didactic materials for grades 10–11, developing special courses in Oriental studies, conducting student scientific seminars, and further researching right-wing radical movements of </w:t>
      </w:r>
      <w:r w:rsidR="00275C4D" w:rsidRPr="00275C4D">
        <w:rPr>
          <w:rFonts w:ascii="Times New Roman" w:hAnsi="Times New Roman" w:cs="Times New Roman"/>
          <w:sz w:val="28"/>
          <w:szCs w:val="28"/>
          <w:lang w:val="en-US"/>
        </w:rPr>
        <w:t>East Asia</w:t>
      </w:r>
      <w:r w:rsidRPr="002569BD">
        <w:rPr>
          <w:rFonts w:ascii="Times New Roman" w:hAnsi="Times New Roman" w:cs="Times New Roman"/>
          <w:sz w:val="28"/>
          <w:szCs w:val="28"/>
          <w:lang w:val="en-US"/>
        </w:rPr>
        <w:t>.</w:t>
      </w:r>
    </w:p>
    <w:p w14:paraId="48DB4550" w14:textId="2C0C24B2" w:rsidR="002569BD" w:rsidRPr="002569BD" w:rsidRDefault="002569BD" w:rsidP="002569BD">
      <w:pPr>
        <w:ind w:firstLine="709"/>
        <w:jc w:val="both"/>
        <w:rPr>
          <w:rFonts w:ascii="Times New Roman" w:hAnsi="Times New Roman" w:cs="Times New Roman"/>
          <w:sz w:val="28"/>
          <w:szCs w:val="28"/>
          <w:lang w:val="en-US"/>
        </w:rPr>
      </w:pPr>
      <w:r w:rsidRPr="002569BD">
        <w:rPr>
          <w:rFonts w:ascii="Times New Roman" w:hAnsi="Times New Roman" w:cs="Times New Roman"/>
          <w:b/>
          <w:bCs/>
          <w:sz w:val="28"/>
          <w:szCs w:val="28"/>
          <w:lang w:val="en-US"/>
        </w:rPr>
        <w:t>Keywords:</w:t>
      </w:r>
      <w:r w:rsidRPr="002569BD">
        <w:rPr>
          <w:rFonts w:ascii="Times New Roman" w:hAnsi="Times New Roman" w:cs="Times New Roman"/>
          <w:sz w:val="28"/>
          <w:szCs w:val="28"/>
          <w:lang w:val="en-US"/>
        </w:rPr>
        <w:t xml:space="preserve"> Yukio Mishima, Japanese nationalism, cultural identity, post-war nihilism, Shield Society ("</w:t>
      </w:r>
      <w:proofErr w:type="spellStart"/>
      <w:r w:rsidRPr="002569BD">
        <w:rPr>
          <w:rFonts w:ascii="Times New Roman" w:hAnsi="Times New Roman" w:cs="Times New Roman"/>
          <w:sz w:val="28"/>
          <w:szCs w:val="28"/>
          <w:lang w:val="en-US"/>
        </w:rPr>
        <w:t>Tatenokai</w:t>
      </w:r>
      <w:proofErr w:type="spellEnd"/>
      <w:r w:rsidRPr="002569BD">
        <w:rPr>
          <w:rFonts w:ascii="Times New Roman" w:hAnsi="Times New Roman" w:cs="Times New Roman"/>
          <w:sz w:val="28"/>
          <w:szCs w:val="28"/>
          <w:lang w:val="en-US"/>
        </w:rPr>
        <w:t>"), traditionalism, historical discourse.</w:t>
      </w:r>
    </w:p>
    <w:sectPr w:rsidR="002569BD" w:rsidRPr="002569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35"/>
    <w:rsid w:val="002418FA"/>
    <w:rsid w:val="002569BD"/>
    <w:rsid w:val="00275C4D"/>
    <w:rsid w:val="002F16E6"/>
    <w:rsid w:val="00470635"/>
    <w:rsid w:val="005057C3"/>
    <w:rsid w:val="005B5252"/>
    <w:rsid w:val="00614C27"/>
    <w:rsid w:val="00700324"/>
    <w:rsid w:val="007A308F"/>
    <w:rsid w:val="00903D6D"/>
    <w:rsid w:val="00AA22D6"/>
    <w:rsid w:val="00AB25C1"/>
    <w:rsid w:val="00B77609"/>
    <w:rsid w:val="00BF059A"/>
    <w:rsid w:val="00C02B81"/>
    <w:rsid w:val="00CA7596"/>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7709"/>
  <w15:chartTrackingRefBased/>
  <w15:docId w15:val="{4E926360-AEEC-49D7-AA99-A3921D58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70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70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7063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7063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7063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706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06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06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06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63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7063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7063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7063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7063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706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0635"/>
    <w:rPr>
      <w:rFonts w:eastAsiaTheme="majorEastAsia" w:cstheme="majorBidi"/>
      <w:color w:val="595959" w:themeColor="text1" w:themeTint="A6"/>
    </w:rPr>
  </w:style>
  <w:style w:type="character" w:customStyle="1" w:styleId="80">
    <w:name w:val="Заголовок 8 Знак"/>
    <w:basedOn w:val="a0"/>
    <w:link w:val="8"/>
    <w:uiPriority w:val="9"/>
    <w:semiHidden/>
    <w:rsid w:val="004706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0635"/>
    <w:rPr>
      <w:rFonts w:eastAsiaTheme="majorEastAsia" w:cstheme="majorBidi"/>
      <w:color w:val="272727" w:themeColor="text1" w:themeTint="D8"/>
    </w:rPr>
  </w:style>
  <w:style w:type="paragraph" w:styleId="a3">
    <w:name w:val="Title"/>
    <w:basedOn w:val="a"/>
    <w:next w:val="a"/>
    <w:link w:val="a4"/>
    <w:uiPriority w:val="10"/>
    <w:qFormat/>
    <w:rsid w:val="0047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706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063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7063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70635"/>
    <w:pPr>
      <w:spacing w:before="160"/>
      <w:jc w:val="center"/>
    </w:pPr>
    <w:rPr>
      <w:i/>
      <w:iCs/>
      <w:color w:val="404040" w:themeColor="text1" w:themeTint="BF"/>
    </w:rPr>
  </w:style>
  <w:style w:type="character" w:customStyle="1" w:styleId="a8">
    <w:name w:val="Цитата Знак"/>
    <w:basedOn w:val="a0"/>
    <w:link w:val="a7"/>
    <w:uiPriority w:val="29"/>
    <w:rsid w:val="00470635"/>
    <w:rPr>
      <w:i/>
      <w:iCs/>
      <w:color w:val="404040" w:themeColor="text1" w:themeTint="BF"/>
    </w:rPr>
  </w:style>
  <w:style w:type="paragraph" w:styleId="a9">
    <w:name w:val="List Paragraph"/>
    <w:basedOn w:val="a"/>
    <w:uiPriority w:val="34"/>
    <w:qFormat/>
    <w:rsid w:val="00470635"/>
    <w:pPr>
      <w:ind w:left="720"/>
      <w:contextualSpacing/>
    </w:pPr>
  </w:style>
  <w:style w:type="character" w:styleId="aa">
    <w:name w:val="Intense Emphasis"/>
    <w:basedOn w:val="a0"/>
    <w:uiPriority w:val="21"/>
    <w:qFormat/>
    <w:rsid w:val="00470635"/>
    <w:rPr>
      <w:i/>
      <w:iCs/>
      <w:color w:val="0F4761" w:themeColor="accent1" w:themeShade="BF"/>
    </w:rPr>
  </w:style>
  <w:style w:type="paragraph" w:styleId="ab">
    <w:name w:val="Intense Quote"/>
    <w:basedOn w:val="a"/>
    <w:next w:val="a"/>
    <w:link w:val="ac"/>
    <w:uiPriority w:val="30"/>
    <w:qFormat/>
    <w:rsid w:val="00470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70635"/>
    <w:rPr>
      <w:i/>
      <w:iCs/>
      <w:color w:val="0F4761" w:themeColor="accent1" w:themeShade="BF"/>
    </w:rPr>
  </w:style>
  <w:style w:type="character" w:styleId="ad">
    <w:name w:val="Intense Reference"/>
    <w:basedOn w:val="a0"/>
    <w:uiPriority w:val="32"/>
    <w:qFormat/>
    <w:rsid w:val="004706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7529">
      <w:bodyDiv w:val="1"/>
      <w:marLeft w:val="0"/>
      <w:marRight w:val="0"/>
      <w:marTop w:val="0"/>
      <w:marBottom w:val="0"/>
      <w:divBdr>
        <w:top w:val="none" w:sz="0" w:space="0" w:color="auto"/>
        <w:left w:val="none" w:sz="0" w:space="0" w:color="auto"/>
        <w:bottom w:val="none" w:sz="0" w:space="0" w:color="auto"/>
        <w:right w:val="none" w:sz="0" w:space="0" w:color="auto"/>
      </w:divBdr>
      <w:divsChild>
        <w:div w:id="1692342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910214">
      <w:bodyDiv w:val="1"/>
      <w:marLeft w:val="0"/>
      <w:marRight w:val="0"/>
      <w:marTop w:val="0"/>
      <w:marBottom w:val="0"/>
      <w:divBdr>
        <w:top w:val="none" w:sz="0" w:space="0" w:color="auto"/>
        <w:left w:val="none" w:sz="0" w:space="0" w:color="auto"/>
        <w:bottom w:val="none" w:sz="0" w:space="0" w:color="auto"/>
        <w:right w:val="none" w:sz="0" w:space="0" w:color="auto"/>
      </w:divBdr>
      <w:divsChild>
        <w:div w:id="36660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509189">
      <w:bodyDiv w:val="1"/>
      <w:marLeft w:val="0"/>
      <w:marRight w:val="0"/>
      <w:marTop w:val="0"/>
      <w:marBottom w:val="0"/>
      <w:divBdr>
        <w:top w:val="none" w:sz="0" w:space="0" w:color="auto"/>
        <w:left w:val="none" w:sz="0" w:space="0" w:color="auto"/>
        <w:bottom w:val="none" w:sz="0" w:space="0" w:color="auto"/>
        <w:right w:val="none" w:sz="0" w:space="0" w:color="auto"/>
      </w:divBdr>
      <w:divsChild>
        <w:div w:id="848981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221934">
      <w:bodyDiv w:val="1"/>
      <w:marLeft w:val="0"/>
      <w:marRight w:val="0"/>
      <w:marTop w:val="0"/>
      <w:marBottom w:val="0"/>
      <w:divBdr>
        <w:top w:val="none" w:sz="0" w:space="0" w:color="auto"/>
        <w:left w:val="none" w:sz="0" w:space="0" w:color="auto"/>
        <w:bottom w:val="none" w:sz="0" w:space="0" w:color="auto"/>
        <w:right w:val="none" w:sz="0" w:space="0" w:color="auto"/>
      </w:divBdr>
      <w:divsChild>
        <w:div w:id="2062746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3413</Words>
  <Characters>1946</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 Moroz</dc:creator>
  <cp:keywords/>
  <dc:description/>
  <cp:lastModifiedBy>Taras Moroz</cp:lastModifiedBy>
  <cp:revision>8</cp:revision>
  <dcterms:created xsi:type="dcterms:W3CDTF">2026-06-09T13:33:00Z</dcterms:created>
  <dcterms:modified xsi:type="dcterms:W3CDTF">2026-06-11T06:52:00Z</dcterms:modified>
</cp:coreProperties>
</file>