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6B" w:rsidRPr="00FF23EB" w:rsidRDefault="006E286B" w:rsidP="006E286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АНОТАЦІЯ</w:t>
      </w:r>
    </w:p>
    <w:p w:rsidR="006E286B" w:rsidRPr="00FF23EB" w:rsidRDefault="006E286B" w:rsidP="006E286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2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магістерської роботи на тему:</w:t>
      </w:r>
    </w:p>
    <w:p w:rsidR="006E286B" w:rsidRPr="00FF23EB" w:rsidRDefault="006E286B" w:rsidP="006E286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Оцінка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екосистемних послуг лісів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Кременецького району </w:t>
      </w:r>
    </w:p>
    <w:p w:rsidR="006E286B" w:rsidRDefault="006E286B" w:rsidP="006E286B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286B" w:rsidRPr="00484378" w:rsidRDefault="006E286B" w:rsidP="006E286B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FF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 дослідження встановлено, що 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ісові ресурси Кременецького району в основному представлені насадженнями сосни, дуба звичайного та граба звичайного із високими класами бонітету та повнотою 0,7-0,9. В районі переважають (68%) ліси першої групи, ліси ІІ групи займають близько 26% і чагарники – 6%. Найбільші площі лісів зосереджені у Шумській і Кременецькій територіальних громадах. Показник лісозабезпеченості населення району становить 0,3 га/особу. Серед основних екосистемних послуг лісів району, нами оцінено: рекреаційну ємність, яка становить 199,8 тис. осіб; обсяг продукування кисню – 8,88 тис. т/добу; обсяги асиміляція вуглекислого газу – 11,1 тис. т/добу та поглинання парникових газів 212,23 тис. т/рік еквівалент СО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en-US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метою оптимізації лісокористування району нами обґрунтовано необхідність створення 18 тисяч гектарів нових лісів.  </w:t>
      </w:r>
    </w:p>
    <w:p w:rsidR="006E286B" w:rsidRPr="00FF23EB" w:rsidRDefault="006E286B" w:rsidP="006E286B">
      <w:pPr>
        <w:tabs>
          <w:tab w:val="left" w:pos="1134"/>
          <w:tab w:val="left" w:pos="10204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2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Ключові слова:</w:t>
      </w:r>
      <w:r w:rsidRPr="00FF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лісові ресурси, Кременецький район, екосистемні послуги, оптимізація. </w:t>
      </w:r>
    </w:p>
    <w:p w:rsidR="006E286B" w:rsidRPr="00FF23EB" w:rsidRDefault="006E286B" w:rsidP="006E286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E286B" w:rsidRPr="00484378" w:rsidRDefault="006E286B" w:rsidP="006E286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E286B" w:rsidRPr="00FF23EB" w:rsidRDefault="006E286B" w:rsidP="006E286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</w:pPr>
      <w:r w:rsidRPr="00FF23EB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SUMMARY</w:t>
      </w:r>
    </w:p>
    <w:p w:rsidR="006E286B" w:rsidRPr="00FF23EB" w:rsidRDefault="006E286B" w:rsidP="006E286B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FF23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to master's work on the topic:</w:t>
      </w:r>
    </w:p>
    <w:p w:rsidR="006E286B" w:rsidRPr="006E286B" w:rsidRDefault="006E286B" w:rsidP="006E286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E286B">
        <w:rPr>
          <w:rFonts w:ascii="Times New Roman" w:hAnsi="Times New Roman" w:cs="Times New Roman"/>
          <w:b/>
          <w:sz w:val="28"/>
          <w:szCs w:val="28"/>
        </w:rPr>
        <w:t>Assessment of forest ecosystem services in the Kremenets district</w:t>
      </w:r>
    </w:p>
    <w:p w:rsidR="006E286B" w:rsidRDefault="006E286B" w:rsidP="006E286B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E286B" w:rsidRDefault="006E286B" w:rsidP="006E286B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GoBack"/>
      <w:bookmarkEnd w:id="0"/>
      <w:r w:rsidRPr="005366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The study found that the forest resources of the Kremenets district are mainly represented by plantations of pine, common oak and hornbeam with high bon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ita classes and a fullness of 0,7-0,</w:t>
      </w:r>
      <w:r w:rsidRPr="005366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366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The district is dominated by forests of the first group (68%), forests of the second grou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p occupy about 26% and shrubs – </w:t>
      </w:r>
      <w:r w:rsidRPr="005366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6%.</w:t>
      </w:r>
      <w:r w:rsidRPr="006A0196">
        <w:t xml:space="preserve"> </w:t>
      </w:r>
      <w:r w:rsidRPr="006A01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The largest forest areas are concentrated in the Shumska and Kremenetska territorial communities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6A01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The forest availability rate of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the district's population is 0,</w:t>
      </w:r>
      <w:r w:rsidRPr="006A01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 hectares/person.</w:t>
      </w:r>
      <w:r w:rsidRPr="006A0196">
        <w:t xml:space="preserve"> </w:t>
      </w:r>
      <w:r w:rsidRPr="006A01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Among the main ecosystem services of the district's forests, we estimated the following: recr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eational capacity, which is 199,</w:t>
      </w:r>
      <w:r w:rsidRPr="006A01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 thousand people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 оxygen production – 8,</w:t>
      </w:r>
      <w:r w:rsidRPr="006A01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88 thousand tonnes per day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  <w:r w:rsidRPr="006A0196">
        <w:t xml:space="preserve"> </w:t>
      </w:r>
      <w:r w:rsidRPr="006A01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ca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rbon dioxide assimilation of 11,</w:t>
      </w:r>
      <w:r w:rsidRPr="006A01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thousand tonnes per day and g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reenhouse gas absorption of 212,2</w:t>
      </w:r>
      <w:r w:rsidRPr="006A01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thousand tonnes per year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6A01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In order to optimise forest management in the region, we have justified the need to create 18,000 hectares of new forests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6E286B" w:rsidRPr="00484378" w:rsidRDefault="006E286B" w:rsidP="006E286B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F2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Key words</w:t>
      </w:r>
      <w:r w:rsidRPr="00FF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366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forest resources, Kremenets district, ecosystem services, optimisation.</w:t>
      </w:r>
    </w:p>
    <w:p w:rsidR="00B477A5" w:rsidRPr="006E286B" w:rsidRDefault="00B477A5" w:rsidP="006E2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477A5" w:rsidRPr="006E286B" w:rsidSect="00CC55EC">
      <w:headerReference w:type="default" r:id="rId4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9516"/>
      <w:docPartObj>
        <w:docPartGallery w:val="Page Numbers (Top of Page)"/>
        <w:docPartUnique/>
      </w:docPartObj>
    </w:sdtPr>
    <w:sdtEndPr/>
    <w:sdtContent>
      <w:p w:rsidR="0015033E" w:rsidRDefault="006E286B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:rsidR="0015033E" w:rsidRDefault="006E28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81"/>
    <w:rsid w:val="006E286B"/>
    <w:rsid w:val="00B477A5"/>
    <w:rsid w:val="00C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1DB2F-9AA0-4689-A39A-97FF0A0B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6B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286B"/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2025-12-09T14:47:00Z</dcterms:created>
  <dcterms:modified xsi:type="dcterms:W3CDTF">2025-12-09T14:49:00Z</dcterms:modified>
</cp:coreProperties>
</file>