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397A7" w14:textId="77777777" w:rsidR="00D13C07" w:rsidRPr="000D2D53" w:rsidRDefault="00D13C07" w:rsidP="00BB40F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0D2D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АНОТАЦІЯ</w:t>
      </w:r>
    </w:p>
    <w:p w14:paraId="5547F0AB" w14:textId="0DED536C" w:rsidR="00015193" w:rsidRPr="000D2D53" w:rsidRDefault="00015193" w:rsidP="00015193">
      <w:pPr>
        <w:tabs>
          <w:tab w:val="left" w:pos="2837"/>
        </w:tabs>
        <w:spacing w:before="1" w:line="276" w:lineRule="auto"/>
        <w:ind w:left="-1" w:right="14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453DCC4A" w14:textId="7FE2892C" w:rsidR="00D13C07" w:rsidRPr="00A169A8" w:rsidRDefault="00844A6A" w:rsidP="00313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2D5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Федина</w:t>
      </w:r>
      <w:proofErr w:type="spellEnd"/>
      <w:r w:rsidRPr="000D2D5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В.Т</w:t>
      </w:r>
      <w:r w:rsidR="007D05A3" w:rsidRPr="000D2D5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  <w:r w:rsidR="00D13C07" w:rsidRPr="000D2D5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bookmarkStart w:id="0" w:name="_Hlk215264837"/>
      <w:r w:rsidRPr="000D2D53">
        <w:rPr>
          <w:rFonts w:ascii="Times New Roman" w:hAnsi="Times New Roman" w:cs="Times New Roman"/>
          <w:color w:val="000000" w:themeColor="text1"/>
          <w:sz w:val="28"/>
          <w:szCs w:val="28"/>
        </w:rPr>
        <w:t>Вплив неспецифічних методів навчання на технічну підготовленість та фізичний розвиток юних футболістів</w:t>
      </w:r>
      <w:bookmarkEnd w:id="0"/>
      <w:r w:rsidR="00D13C07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="00D13C07" w:rsidRPr="000D2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Кваліфікаційна робота на здобуття освітнього ступеня «магістр» зі спеціальності 017 Фізична культура </w:t>
      </w:r>
      <w:r w:rsidR="00D13C07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і спорт. ТНПУ ім. В. Гнатюка. Тернопіль, 202</w:t>
      </w:r>
      <w:r w:rsidR="00015193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13C07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A169A8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D13C07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с.</w:t>
      </w:r>
    </w:p>
    <w:p w14:paraId="503475E2" w14:textId="395E7743" w:rsidR="00844A6A" w:rsidRPr="00A169A8" w:rsidRDefault="00D13C07" w:rsidP="00313023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кваліфікаційній роботі </w:t>
      </w:r>
      <w:r w:rsidR="00015193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перевірено</w:t>
      </w:r>
      <w:r w:rsidR="00015193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припущення, </w:t>
      </w:r>
      <w:r w:rsidR="00844A6A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що вплив неспецифічних методів навчання на ефективність навчально-тренувального заняття буде вищим, якщо враховувати вікові особливості учнів. </w:t>
      </w:r>
      <w:r w:rsidR="00FA75BC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основі аналізу літературних джерел досліджено можливості впливу неспецифічних методів навчання на технічну підготовленість та фізичний розвиток юних футболістів, підібрано діагностичні методики. </w:t>
      </w:r>
      <w:r w:rsidR="00844A6A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В процесі дослідження було оцінено технічну підготовленість та фізичний розвиток юних футболістів.</w:t>
      </w:r>
    </w:p>
    <w:p w14:paraId="5FCA72FF" w14:textId="79781E58" w:rsidR="00844A6A" w:rsidRPr="00A169A8" w:rsidRDefault="00015193" w:rsidP="00FA75BC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Дані отримані в результаті аналізу </w:t>
      </w:r>
      <w:r w:rsidR="00844A6A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літературних </w:t>
      </w:r>
      <w:r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джерел, педагогічного спостереження стали осново</w:t>
      </w:r>
      <w:bookmarkStart w:id="1" w:name="_GoBack"/>
      <w:bookmarkEnd w:id="1"/>
      <w:r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ю для </w:t>
      </w:r>
      <w:r w:rsidR="00844A6A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розробки та апробації методики занять для юних футболістів із застосуванням неспецифічних методів навчання</w:t>
      </w:r>
      <w:r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.</w:t>
      </w:r>
      <w:r w:rsidR="00844A6A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5BC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Отримані результати дослідження</w:t>
      </w:r>
      <w:r w:rsidR="005C376B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A75BC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показали ефективність розробленої нами методики</w:t>
      </w:r>
      <w:r w:rsidR="005C376B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A75BC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для навчально-тренувального процесу з футболу.</w:t>
      </w:r>
    </w:p>
    <w:p w14:paraId="34566774" w14:textId="63C69438" w:rsidR="00D13C07" w:rsidRPr="00A169A8" w:rsidRDefault="00D13C07" w:rsidP="00BB40F2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6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Ключові слова: </w:t>
      </w:r>
      <w:r w:rsidR="00844A6A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футбол</w:t>
      </w:r>
      <w:r w:rsidR="00015193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844A6A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навчально-тренувальний процес</w:t>
      </w:r>
      <w:r w:rsidR="00015193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844A6A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фізичний розвиток</w:t>
      </w:r>
      <w:r w:rsidR="00015193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, </w:t>
      </w:r>
      <w:r w:rsidR="00844A6A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технічна підготовленість</w:t>
      </w:r>
      <w:r w:rsidR="00015193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 засоби навчання, методи навчання</w:t>
      </w:r>
      <w:r w:rsidR="00B63C10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>,</w:t>
      </w:r>
      <w:r w:rsidR="00844A6A" w:rsidRPr="00A169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uk-UA"/>
        </w:rPr>
        <w:t xml:space="preserve"> юні футболісти</w:t>
      </w:r>
      <w:r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F846852" w14:textId="45A30255" w:rsidR="007C4C1A" w:rsidRPr="00A169A8" w:rsidRDefault="007C4C1A" w:rsidP="00BB40F2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F47CF74" w14:textId="77777777" w:rsidR="00BB40F2" w:rsidRPr="00A169A8" w:rsidRDefault="00BB40F2" w:rsidP="00BB40F2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6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ABSTRACT</w:t>
      </w:r>
    </w:p>
    <w:p w14:paraId="4993ACDF" w14:textId="77777777" w:rsidR="000D2D53" w:rsidRPr="00A169A8" w:rsidRDefault="000D2D53" w:rsidP="00BB40F2">
      <w:pPr>
        <w:pStyle w:val="a8"/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23F8276" w14:textId="5118661B" w:rsidR="002063AF" w:rsidRPr="000D2D53" w:rsidRDefault="000D2D53" w:rsidP="002063AF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A16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Fedyna</w:t>
      </w:r>
      <w:proofErr w:type="spellEnd"/>
      <w:r w:rsidRPr="00A169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V.T.</w:t>
      </w:r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influence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non-specific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methods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technical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preparedness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development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Pr="00A169A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Qualification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work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for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the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degree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Master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of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Science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in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Physical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Education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and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Sports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specialty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017. V.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Hnatiuk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National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Pedagogical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University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Ternopil</w:t>
      </w:r>
      <w:proofErr w:type="spellEnd"/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2025. </w:t>
      </w:r>
      <w:r w:rsidR="00A169A8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="002063AF" w:rsidRPr="00A169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p.</w:t>
      </w:r>
    </w:p>
    <w:p w14:paraId="157A609A" w14:textId="77777777" w:rsidR="000D2D53" w:rsidRPr="000D2D53" w:rsidRDefault="000D2D53" w:rsidP="002063AF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thesis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tests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assumption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that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impact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non-specific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effectiveness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sessions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will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greater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age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characteristics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students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are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taken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into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account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Based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analysis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literary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sources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possibilities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influence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non-specific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teaching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on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technical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preparedness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development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were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investigated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diagnostic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were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selected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course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study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technical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preparedness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development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were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assessed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20953E21" w14:textId="07C695AD" w:rsidR="000D2D53" w:rsidRPr="000D2D53" w:rsidRDefault="000D2D53" w:rsidP="002063AF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data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obtained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a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result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analysis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literary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sources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pedagogical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observation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became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basis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development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and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testing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footballers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using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non-specific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teaching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results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study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showed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effectiveness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of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developed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for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the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process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in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</w:t>
      </w:r>
      <w:proofErr w:type="spellEnd"/>
      <w:r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1ACEF08C" w14:textId="3B1091FC" w:rsidR="002063AF" w:rsidRPr="000D2D53" w:rsidRDefault="002063AF" w:rsidP="002063AF">
      <w:pPr>
        <w:pStyle w:val="a8"/>
        <w:tabs>
          <w:tab w:val="left" w:pos="0"/>
        </w:tabs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0D2D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Key</w:t>
      </w:r>
      <w:proofErr w:type="spellEnd"/>
      <w:r w:rsidRPr="000D2D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0D2D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words</w:t>
      </w:r>
      <w:proofErr w:type="spellEnd"/>
      <w:r w:rsidRPr="000D2D5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0D2D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training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process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physical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development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technical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preparedness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teaching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aids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teaching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methods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young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football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players</w:t>
      </w:r>
      <w:proofErr w:type="spellEnd"/>
      <w:r w:rsidR="000D2D53" w:rsidRPr="000D2D5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sectPr w:rsidR="002063AF" w:rsidRPr="000D2D53" w:rsidSect="00FB5EA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5C8B"/>
    <w:multiLevelType w:val="hybridMultilevel"/>
    <w:tmpl w:val="0FB61B6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5F71B7"/>
    <w:multiLevelType w:val="multilevel"/>
    <w:tmpl w:val="4ACE4D44"/>
    <w:lvl w:ilvl="0">
      <w:start w:val="1"/>
      <w:numFmt w:val="decimal"/>
      <w:lvlText w:val="%1"/>
      <w:lvlJc w:val="left"/>
      <w:pPr>
        <w:ind w:left="919" w:hanging="49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27" w:hanging="4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</w:rPr>
    </w:lvl>
  </w:abstractNum>
  <w:abstractNum w:abstractNumId="2" w15:restartNumberingAfterBreak="0">
    <w:nsid w:val="4F4F5CFE"/>
    <w:multiLevelType w:val="multilevel"/>
    <w:tmpl w:val="6C544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AC41F6"/>
    <w:multiLevelType w:val="hybridMultilevel"/>
    <w:tmpl w:val="97088D38"/>
    <w:lvl w:ilvl="0" w:tplc="2C308540">
      <w:start w:val="1"/>
      <w:numFmt w:val="decimal"/>
      <w:lvlText w:val="%1."/>
      <w:lvlJc w:val="left"/>
      <w:pPr>
        <w:ind w:left="126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en-US" w:eastAsia="en-US" w:bidi="ar-SA"/>
      </w:rPr>
    </w:lvl>
    <w:lvl w:ilvl="1" w:tplc="4686FEEA">
      <w:numFmt w:val="bullet"/>
      <w:lvlText w:val="•"/>
      <w:lvlJc w:val="left"/>
      <w:pPr>
        <w:ind w:left="1109" w:hanging="696"/>
      </w:pPr>
      <w:rPr>
        <w:rFonts w:hint="default"/>
        <w:lang w:val="en-US" w:eastAsia="en-US" w:bidi="ar-SA"/>
      </w:rPr>
    </w:lvl>
    <w:lvl w:ilvl="2" w:tplc="24065D00">
      <w:numFmt w:val="bullet"/>
      <w:lvlText w:val="•"/>
      <w:lvlJc w:val="left"/>
      <w:pPr>
        <w:ind w:left="2099" w:hanging="696"/>
      </w:pPr>
      <w:rPr>
        <w:rFonts w:hint="default"/>
        <w:lang w:val="en-US" w:eastAsia="en-US" w:bidi="ar-SA"/>
      </w:rPr>
    </w:lvl>
    <w:lvl w:ilvl="3" w:tplc="63425EC2">
      <w:numFmt w:val="bullet"/>
      <w:lvlText w:val="•"/>
      <w:lvlJc w:val="left"/>
      <w:pPr>
        <w:ind w:left="3089" w:hanging="696"/>
      </w:pPr>
      <w:rPr>
        <w:rFonts w:hint="default"/>
        <w:lang w:val="en-US" w:eastAsia="en-US" w:bidi="ar-SA"/>
      </w:rPr>
    </w:lvl>
    <w:lvl w:ilvl="4" w:tplc="936E7612">
      <w:numFmt w:val="bullet"/>
      <w:lvlText w:val="•"/>
      <w:lvlJc w:val="left"/>
      <w:pPr>
        <w:ind w:left="4079" w:hanging="696"/>
      </w:pPr>
      <w:rPr>
        <w:rFonts w:hint="default"/>
        <w:lang w:val="en-US" w:eastAsia="en-US" w:bidi="ar-SA"/>
      </w:rPr>
    </w:lvl>
    <w:lvl w:ilvl="5" w:tplc="F6A23F5E">
      <w:numFmt w:val="bullet"/>
      <w:lvlText w:val="•"/>
      <w:lvlJc w:val="left"/>
      <w:pPr>
        <w:ind w:left="5069" w:hanging="696"/>
      </w:pPr>
      <w:rPr>
        <w:rFonts w:hint="default"/>
        <w:lang w:val="en-US" w:eastAsia="en-US" w:bidi="ar-SA"/>
      </w:rPr>
    </w:lvl>
    <w:lvl w:ilvl="6" w:tplc="7756B60C">
      <w:numFmt w:val="bullet"/>
      <w:lvlText w:val="•"/>
      <w:lvlJc w:val="left"/>
      <w:pPr>
        <w:ind w:left="6059" w:hanging="696"/>
      </w:pPr>
      <w:rPr>
        <w:rFonts w:hint="default"/>
        <w:lang w:val="en-US" w:eastAsia="en-US" w:bidi="ar-SA"/>
      </w:rPr>
    </w:lvl>
    <w:lvl w:ilvl="7" w:tplc="9F82C75C">
      <w:numFmt w:val="bullet"/>
      <w:lvlText w:val="•"/>
      <w:lvlJc w:val="left"/>
      <w:pPr>
        <w:ind w:left="7049" w:hanging="696"/>
      </w:pPr>
      <w:rPr>
        <w:rFonts w:hint="default"/>
        <w:lang w:val="en-US" w:eastAsia="en-US" w:bidi="ar-SA"/>
      </w:rPr>
    </w:lvl>
    <w:lvl w:ilvl="8" w:tplc="B2CA601A">
      <w:numFmt w:val="bullet"/>
      <w:lvlText w:val="•"/>
      <w:lvlJc w:val="left"/>
      <w:pPr>
        <w:ind w:left="8039" w:hanging="696"/>
      </w:pPr>
      <w:rPr>
        <w:rFonts w:hint="default"/>
        <w:lang w:val="en-US" w:eastAsia="en-US" w:bidi="ar-SA"/>
      </w:rPr>
    </w:lvl>
  </w:abstractNum>
  <w:abstractNum w:abstractNumId="4" w15:restartNumberingAfterBreak="0">
    <w:nsid w:val="5AD02C6E"/>
    <w:multiLevelType w:val="multilevel"/>
    <w:tmpl w:val="79EAA12E"/>
    <w:lvl w:ilvl="0">
      <w:start w:val="3"/>
      <w:numFmt w:val="decimal"/>
      <w:lvlText w:val="%1"/>
      <w:lvlJc w:val="left"/>
      <w:pPr>
        <w:ind w:left="919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19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27" w:hanging="43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52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9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85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2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18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34" w:hanging="43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79"/>
    <w:rsid w:val="000125E2"/>
    <w:rsid w:val="00015193"/>
    <w:rsid w:val="00035879"/>
    <w:rsid w:val="00037561"/>
    <w:rsid w:val="00076D23"/>
    <w:rsid w:val="000802BC"/>
    <w:rsid w:val="000A39F1"/>
    <w:rsid w:val="000D2D53"/>
    <w:rsid w:val="000E545B"/>
    <w:rsid w:val="00166BD8"/>
    <w:rsid w:val="00170CE7"/>
    <w:rsid w:val="00176FF3"/>
    <w:rsid w:val="001B4CB6"/>
    <w:rsid w:val="002050C1"/>
    <w:rsid w:val="002063AF"/>
    <w:rsid w:val="00224FBA"/>
    <w:rsid w:val="002A624C"/>
    <w:rsid w:val="00313023"/>
    <w:rsid w:val="00386AB9"/>
    <w:rsid w:val="003B6303"/>
    <w:rsid w:val="00472ACB"/>
    <w:rsid w:val="004A6D55"/>
    <w:rsid w:val="004D57A5"/>
    <w:rsid w:val="00530E54"/>
    <w:rsid w:val="00571B82"/>
    <w:rsid w:val="005923B9"/>
    <w:rsid w:val="005A7E42"/>
    <w:rsid w:val="005C376B"/>
    <w:rsid w:val="005C7842"/>
    <w:rsid w:val="005E1379"/>
    <w:rsid w:val="00604675"/>
    <w:rsid w:val="006739A0"/>
    <w:rsid w:val="006A6821"/>
    <w:rsid w:val="007324D0"/>
    <w:rsid w:val="007771D0"/>
    <w:rsid w:val="007C4C1A"/>
    <w:rsid w:val="007D05A3"/>
    <w:rsid w:val="00844A6A"/>
    <w:rsid w:val="0086329F"/>
    <w:rsid w:val="00912693"/>
    <w:rsid w:val="009317F4"/>
    <w:rsid w:val="00942896"/>
    <w:rsid w:val="009516DB"/>
    <w:rsid w:val="00962BBF"/>
    <w:rsid w:val="00993E30"/>
    <w:rsid w:val="009E597F"/>
    <w:rsid w:val="009F124D"/>
    <w:rsid w:val="00A169A8"/>
    <w:rsid w:val="00A720E5"/>
    <w:rsid w:val="00A946F1"/>
    <w:rsid w:val="00AE631C"/>
    <w:rsid w:val="00B17CD9"/>
    <w:rsid w:val="00B3790B"/>
    <w:rsid w:val="00B63C10"/>
    <w:rsid w:val="00BA218D"/>
    <w:rsid w:val="00BB40F2"/>
    <w:rsid w:val="00CD50DF"/>
    <w:rsid w:val="00CF077D"/>
    <w:rsid w:val="00CF1628"/>
    <w:rsid w:val="00D13228"/>
    <w:rsid w:val="00D13C07"/>
    <w:rsid w:val="00D16448"/>
    <w:rsid w:val="00D8016A"/>
    <w:rsid w:val="00D901F6"/>
    <w:rsid w:val="00E0445E"/>
    <w:rsid w:val="00E82F87"/>
    <w:rsid w:val="00EE5BA0"/>
    <w:rsid w:val="00F140A8"/>
    <w:rsid w:val="00F22D5F"/>
    <w:rsid w:val="00FA75BC"/>
    <w:rsid w:val="00FB5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75CE5B"/>
  <w15:docId w15:val="{847660DA-44EF-4B86-A9F7-264CF383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unhideWhenUsed/>
    <w:qFormat/>
    <w:rsid w:val="00844A6A"/>
    <w:pPr>
      <w:widowControl w:val="0"/>
      <w:autoSpaceDE w:val="0"/>
      <w:autoSpaceDN w:val="0"/>
      <w:ind w:left="1414" w:hanging="279"/>
      <w:jc w:val="left"/>
      <w:outlineLvl w:val="2"/>
    </w:pPr>
    <w:rPr>
      <w:rFonts w:ascii="Times New Roman" w:eastAsia="Times New Roman" w:hAnsi="Times New Roman" w:cs="Times New Roman"/>
      <w:b/>
      <w:bCs/>
      <w:sz w:val="28"/>
      <w:szCs w:val="28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472ACB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line="322" w:lineRule="exact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List Paragraph"/>
    <w:basedOn w:val="a"/>
    <w:uiPriority w:val="1"/>
    <w:qFormat/>
    <w:rsid w:val="00472ACB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unhideWhenUsed/>
    <w:rsid w:val="0086329F"/>
    <w:pPr>
      <w:suppressAutoHyphens/>
      <w:spacing w:line="360" w:lineRule="auto"/>
      <w:ind w:firstLine="720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a5">
    <w:name w:val="Основний текст з відступом Знак"/>
    <w:basedOn w:val="a0"/>
    <w:link w:val="a4"/>
    <w:uiPriority w:val="99"/>
    <w:semiHidden/>
    <w:rsid w:val="0086329F"/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translation-chunk">
    <w:name w:val="translation-chunk"/>
    <w:rsid w:val="00A720E5"/>
  </w:style>
  <w:style w:type="paragraph" w:styleId="a6">
    <w:name w:val="Balloon Text"/>
    <w:basedOn w:val="a"/>
    <w:link w:val="a7"/>
    <w:uiPriority w:val="99"/>
    <w:semiHidden/>
    <w:unhideWhenUsed/>
    <w:rsid w:val="00CD50DF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CD50DF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6739A0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6739A0"/>
  </w:style>
  <w:style w:type="paragraph" w:customStyle="1" w:styleId="TableParagraph">
    <w:name w:val="Table Paragraph"/>
    <w:basedOn w:val="a"/>
    <w:uiPriority w:val="1"/>
    <w:qFormat/>
    <w:rsid w:val="00313023"/>
    <w:pPr>
      <w:widowControl w:val="0"/>
      <w:autoSpaceDE w:val="0"/>
      <w:autoSpaceDN w:val="0"/>
      <w:ind w:left="110"/>
      <w:jc w:val="left"/>
    </w:pPr>
    <w:rPr>
      <w:rFonts w:ascii="Times New Roman" w:eastAsia="Times New Roman" w:hAnsi="Times New Roman" w:cs="Times New Roman"/>
      <w:lang w:val="uk"/>
    </w:rPr>
  </w:style>
  <w:style w:type="character" w:customStyle="1" w:styleId="30">
    <w:name w:val="Заголовок 3 Знак"/>
    <w:basedOn w:val="a0"/>
    <w:link w:val="3"/>
    <w:uiPriority w:val="9"/>
    <w:rsid w:val="00844A6A"/>
    <w:rPr>
      <w:rFonts w:ascii="Times New Roman" w:eastAsia="Times New Roman" w:hAnsi="Times New Roman" w:cs="Times New Roman"/>
      <w:b/>
      <w:bCs/>
      <w:sz w:val="28"/>
      <w:szCs w:val="28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33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5AFE8-089B-43C7-8972-1767FCB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1670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Nastia</dc:creator>
  <cp:lastModifiedBy>user</cp:lastModifiedBy>
  <cp:revision>9</cp:revision>
  <cp:lastPrinted>2025-12-12T13:43:00Z</cp:lastPrinted>
  <dcterms:created xsi:type="dcterms:W3CDTF">2025-12-07T00:20:00Z</dcterms:created>
  <dcterms:modified xsi:type="dcterms:W3CDTF">2025-12-12T13:43:00Z</dcterms:modified>
</cp:coreProperties>
</file>