
<file path=[Content_Types].xml><?xml version="1.0" encoding="utf-8"?>
<Types xmlns="http://schemas.openxmlformats.org/package/2006/content-types">
  <Default Extension="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styles.xml" ContentType="application/vnd.openxmlformats-officedocument.wordprocessingml.styles+xml"/>
  <Override PartName="/word/settings.xml" ContentType="application/vnd.openxmlformats-officedocument.wordprocessingml.settings+xml"/>
  <Override PartName="/word/numbering.xml" ContentType="application/vnd.openxmlformats-officedocument.wordprocessingml.numbering+xml"/>
</Types>
</file>

<file path=_rels/.rels><?xml version="1.0" encoding="utf-8"?><Relationships xmlns="http://schemas.openxmlformats.org/package/2006/relationships"><Relationship Id="R2630F917" Type="http://schemas.openxmlformats.org/officeDocument/2006/relationships/officeDocument" Target="/word/document.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pStyle w:val="P1"/>
        <w:widowControl w:val="0"/>
        <w:shd w:val="clear" w:fill="auto"/>
        <w:tabs>
          <w:tab w:val="left" w:pos="518" w:leader="none"/>
        </w:tabs>
        <w:spacing w:lineRule="auto" w:line="360"/>
        <w:jc w:val="center"/>
        <w:rPr>
          <w:sz w:val="22"/>
        </w:rPr>
      </w:pPr>
      <w:r>
        <w:rPr>
          <w:rStyle w:val="C3"/>
          <w:b w:val="1"/>
          <w:sz w:val="28"/>
        </w:rPr>
        <w:t>АНОТАЦІЯ</w:t>
      </w:r>
    </w:p>
    <w:p>
      <w:pPr>
        <w:spacing w:lineRule="auto" w:line="360" w:after="0"/>
        <w:jc w:val="center"/>
        <w:rPr>
          <w:rFonts w:ascii="Times New Roman" w:hAnsi="Times New Roman"/>
          <w:sz w:val="28"/>
        </w:rPr>
      </w:pPr>
      <w:r>
        <w:rPr>
          <w:rStyle w:val="C3"/>
          <w:b w:val="1"/>
          <w:sz w:val="28"/>
        </w:rPr>
        <w:t>Грицай Т.В.</w:t>
      </w:r>
      <w:r>
        <w:rPr>
          <w:rStyle w:val="C3"/>
          <w:sz w:val="28"/>
        </w:rPr>
        <w:t xml:space="preserve"> </w:t>
      </w:r>
      <w:r>
        <w:rPr>
          <w:rFonts w:ascii="Times New Roman" w:hAnsi="Times New Roman"/>
          <w:sz w:val="28"/>
        </w:rPr>
        <w:t xml:space="preserve">Вивчення топонімної номінації на уроках української мови в 10 класі профільної школи : кваліфікаційна робота на здобуття освітнього ступеня «магістр» зі спеціальності 014 Середня освіта. Тернопіль: ТНПУ, 2025. </w:t>
      </w:r>
      <w:r>
        <w:rPr>
          <w:rFonts w:ascii="Times New Roman" w:hAnsi="Times New Roman"/>
          <w:sz w:val="28"/>
          <w:shd w:val="clear" w:fill="FFFFFF"/>
        </w:rPr>
        <w:t>8</w:t>
      </w:r>
      <w:r>
        <w:rPr>
          <w:rFonts w:ascii="Times New Roman" w:hAnsi="Times New Roman"/>
          <w:sz w:val="28"/>
        </w:rPr>
        <w:t>7 с.</w:t>
      </w:r>
    </w:p>
    <w:p>
      <w:pPr>
        <w:pStyle w:val="P1"/>
        <w:widowControl w:val="0"/>
        <w:shd w:val="clear" w:fill="auto"/>
        <w:tabs>
          <w:tab w:val="left" w:pos="518" w:leader="none"/>
        </w:tabs>
        <w:spacing w:lineRule="auto" w:line="360"/>
        <w:ind w:left="720"/>
        <w:rPr>
          <w:sz w:val="16"/>
        </w:rPr>
      </w:pPr>
    </w:p>
    <w:p>
      <w:pPr>
        <w:pStyle w:val="P1"/>
        <w:widowControl w:val="0"/>
        <w:shd w:val="clear" w:fill="auto"/>
        <w:spacing w:lineRule="auto" w:line="360"/>
        <w:ind w:firstLine="709"/>
        <w:rPr>
          <w:color w:val="000000"/>
        </w:rPr>
      </w:pPr>
      <w:r>
        <w:rPr>
          <w:rStyle w:val="C3"/>
          <w:color w:val="000000"/>
          <w:sz w:val="28"/>
        </w:rPr>
        <w:t>У кваліфікаційній роботі здійснено</w:t>
      </w:r>
      <w:r>
        <w:t xml:space="preserve"> лінгвістичний аналіз назв населених пунктів, етимонами яких є антропоніми.</w:t>
      </w:r>
      <w:r>
        <w:rPr>
          <w:rStyle w:val="C3"/>
          <w:color w:val="000000"/>
          <w:sz w:val="28"/>
        </w:rPr>
        <w:t xml:space="preserve"> Проведено, описано й умотивовано словотвірно-структурний аспект власних назв-ойконімів, встановлено продуктивність формантів для їх утворення. Виявлено, що чоловічі іменування домінують і становлять основний пласт етимонів ойконімів, що пов’язано із соціальними чинниками. </w:t>
      </w:r>
    </w:p>
    <w:p>
      <w:pPr>
        <w:pStyle w:val="P1"/>
        <w:widowControl w:val="0"/>
        <w:shd w:val="clear" w:fill="auto"/>
        <w:spacing w:lineRule="auto" w:line="360"/>
        <w:ind w:firstLine="709"/>
        <w:rPr>
          <w:color w:val="000000"/>
        </w:rPr>
      </w:pPr>
      <w:r>
        <w:rPr>
          <w:rStyle w:val="C3"/>
          <w:color w:val="000000"/>
          <w:sz w:val="28"/>
        </w:rPr>
        <w:t>Вивчення власних назв населених пунктів у старшій профільній школі передбачено при вивченні усіх розділів мовознавства, проте виділення окремих тем для топонімів є в 10 класі у процесі вивчення лексикології. Запропоновано нетрадиційні методи вивчення власних назв-ойконімів та систему вправ для їх опрацювання.</w:t>
      </w:r>
    </w:p>
    <w:p>
      <w:pPr>
        <w:pStyle w:val="P1"/>
        <w:widowControl w:val="0"/>
        <w:shd w:val="clear" w:fill="auto"/>
        <w:spacing w:lineRule="auto" w:line="360"/>
        <w:ind w:firstLine="709"/>
        <w:rPr>
          <w:b w:val="1"/>
          <w:color w:val="000000"/>
          <w:sz w:val="16"/>
        </w:rPr>
      </w:pPr>
    </w:p>
    <w:p>
      <w:pPr>
        <w:pStyle w:val="P1"/>
        <w:widowControl w:val="0"/>
        <w:shd w:val="clear" w:fill="auto"/>
        <w:spacing w:lineRule="auto" w:line="360"/>
        <w:ind w:firstLine="709"/>
      </w:pPr>
      <w:r>
        <w:rPr>
          <w:rStyle w:val="C3"/>
          <w:b w:val="1"/>
          <w:color w:val="000000"/>
          <w:sz w:val="28"/>
        </w:rPr>
        <w:t>Ключові слова:</w:t>
      </w:r>
      <w:r>
        <w:rPr>
          <w:rStyle w:val="C3"/>
          <w:color w:val="000000"/>
          <w:sz w:val="28"/>
        </w:rPr>
        <w:t xml:space="preserve"> ономастика, онім, ойконім, антропонім, власне особове ім’я, словотвірно-структурний варіант, формант, лінгводидактика,  Програма, профільна школа, вправа, метод.</w:t>
      </w:r>
    </w:p>
    <w:p>
      <w:pPr>
        <w:pStyle w:val="P2"/>
        <w:widowControl w:val="0"/>
        <w:shd w:val="clear" w:fill="auto"/>
        <w:spacing w:lineRule="auto" w:line="360"/>
        <w:ind w:firstLine="709"/>
      </w:pPr>
    </w:p>
    <w:p>
      <w:pPr>
        <w:spacing w:lineRule="auto" w:line="360" w:after="0"/>
        <w:ind w:firstLine="567"/>
        <w:jc w:val="center"/>
        <w:rPr>
          <w:rFonts w:ascii="Times New Roman" w:hAnsi="Times New Roman"/>
          <w:b w:val="1"/>
          <w:sz w:val="28"/>
        </w:rPr>
      </w:pPr>
      <w:r>
        <w:rPr>
          <w:rFonts w:ascii="Times New Roman" w:hAnsi="Times New Roman"/>
          <w:b w:val="1"/>
          <w:sz w:val="28"/>
        </w:rPr>
        <w:t>ABSTRACT</w:t>
      </w:r>
    </w:p>
    <w:p>
      <w:pPr>
        <w:spacing w:lineRule="auto" w:line="360" w:after="0"/>
        <w:ind w:firstLine="709"/>
        <w:jc w:val="both"/>
        <w:rPr>
          <w:rFonts w:ascii="Times New Roman" w:hAnsi="Times New Roman"/>
          <w:sz w:val="28"/>
        </w:rPr>
      </w:pPr>
      <w:r>
        <w:rPr>
          <w:rFonts w:ascii="Times New Roman" w:hAnsi="Times New Roman"/>
          <w:b w:val="1"/>
          <w:sz w:val="28"/>
        </w:rPr>
        <w:t>Hrytsay T.V.</w:t>
      </w:r>
      <w:r>
        <w:rPr>
          <w:rFonts w:ascii="Times New Roman" w:hAnsi="Times New Roman"/>
          <w:sz w:val="28"/>
        </w:rPr>
        <w:t xml:space="preserve"> Studying toponymic nomenclature in Ukrainian language lessons in the 10th grade of a specialized school: qualification work for obtaining an educational degree “Master” in the specialty 014 Secondary Education. Ternopil: Ternopil Volodymyr Hnatiuk National Pedagogical University, 2025. </w:t>
      </w:r>
      <w:r>
        <w:rPr>
          <w:rFonts w:ascii="Times New Roman" w:hAnsi="Times New Roman"/>
          <w:sz w:val="28"/>
          <w:shd w:val="clear" w:fill="FFFFFF"/>
        </w:rPr>
        <w:t>71 p.</w:t>
      </w:r>
    </w:p>
    <w:p>
      <w:pPr>
        <w:spacing w:lineRule="auto" w:line="360" w:after="0"/>
        <w:ind w:firstLine="709"/>
        <w:jc w:val="both"/>
        <w:rPr>
          <w:rFonts w:ascii="Times New Roman" w:hAnsi="Times New Roman"/>
          <w:sz w:val="16"/>
        </w:rPr>
      </w:pPr>
    </w:p>
    <w:p>
      <w:pPr>
        <w:spacing w:lineRule="auto" w:line="360" w:after="0"/>
        <w:ind w:firstLine="709"/>
        <w:jc w:val="both"/>
        <w:rPr>
          <w:rFonts w:ascii="Times New Roman" w:hAnsi="Times New Roman"/>
          <w:sz w:val="28"/>
        </w:rPr>
      </w:pPr>
      <w:r>
        <w:rPr>
          <w:rFonts w:ascii="Times New Roman" w:hAnsi="Times New Roman"/>
          <w:sz w:val="28"/>
        </w:rPr>
        <w:t>In the qualification work, a linguistic analysis of the names of settlements, the etymons of which are anthroponyms, was carried out. The word-formation and structural aspect of proper names-oikonyms was conducted, described and motivated, and the productivity of formants for their formation was established. It was revealed that masculine names dominate and constitute the main layer of etymons of oikonyms, which is associated with social factors.</w:t>
      </w:r>
    </w:p>
    <w:p>
      <w:pPr>
        <w:spacing w:lineRule="auto" w:line="360" w:after="0"/>
        <w:ind w:firstLine="709"/>
        <w:jc w:val="both"/>
        <w:rPr>
          <w:rFonts w:ascii="Times New Roman" w:hAnsi="Times New Roman"/>
          <w:sz w:val="28"/>
        </w:rPr>
      </w:pPr>
      <w:r>
        <w:rPr>
          <w:rFonts w:ascii="Times New Roman" w:hAnsi="Times New Roman"/>
          <w:sz w:val="28"/>
        </w:rPr>
        <w:t>The study of proper names of settlements in senior specialized school is provided for when learning all sections of linguistics, however, the allocation of separate topics for toponyms is in the 10th grade in the process of studying lexicology. Non-traditional methods of learning proper names-oikonyms and a system of exercises for their processing are proposed.</w:t>
      </w:r>
    </w:p>
    <w:p>
      <w:pPr>
        <w:spacing w:lineRule="auto" w:line="360" w:after="0"/>
        <w:ind w:firstLine="709"/>
        <w:jc w:val="both"/>
        <w:rPr>
          <w:rFonts w:ascii="Times New Roman" w:hAnsi="Times New Roman"/>
          <w:sz w:val="16"/>
        </w:rPr>
      </w:pPr>
    </w:p>
    <w:p>
      <w:pPr>
        <w:spacing w:lineRule="auto" w:line="360" w:after="0"/>
        <w:ind w:firstLine="709"/>
        <w:jc w:val="both"/>
        <w:rPr>
          <w:rFonts w:ascii="Times New Roman" w:hAnsi="Times New Roman"/>
          <w:sz w:val="28"/>
        </w:rPr>
      </w:pPr>
      <w:r>
        <w:rPr>
          <w:rFonts w:ascii="Times New Roman" w:hAnsi="Times New Roman"/>
          <w:b w:val="1"/>
          <w:sz w:val="28"/>
        </w:rPr>
        <w:t>Key words:</w:t>
      </w:r>
      <w:r>
        <w:rPr>
          <w:rFonts w:ascii="Times New Roman" w:hAnsi="Times New Roman"/>
          <w:sz w:val="28"/>
        </w:rPr>
        <w:t xml:space="preserve"> onomastics, onyme, oikonym, anthroponym, proper personal name, word-formation-structural variant, formant, linguodidactics, Program, profile school, exercise, method.</w:t>
      </w:r>
    </w:p>
    <w:p/>
    <w:sectPr>
      <w:footerReference xmlns:r="http://schemas.openxmlformats.org/officeDocument/2006/relationships" w:type="first" r:id="RelFtr1"/>
      <w:footerReference xmlns:r="http://schemas.openxmlformats.org/officeDocument/2006/relationships" w:type="default" r:id="RelFtr2"/>
      <w:type w:val="nextPage"/>
      <w:pgSz w:w="11900" w:h="16840" w:code="9"/>
      <w:pgMar w:left="1701" w:right="680" w:top="1418" w:bottom="1418" w:header="624" w:footer="567" w:gutter="0"/>
      <w:cols w:equalWidth="1" w:space="720"/>
      <w:titlePg w:val="1"/>
    </w:sectPr>
  </w:body>
</w:document>
</file>

<file path=word/footer1.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rPr>
        <w:sz w:val="2"/>
      </w:rPr>
    </w:pPr>
  </w:p>
</w:ftr>
</file>

<file path=word/footer2.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rPr>
        <w:sz w:val="2"/>
      </w:rPr>
    </w:pPr>
  </w:p>
</w:ftr>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20"/>
  <w:autoHyphenation w:val="0"/>
  <w:evenAndOddHeaders w:val="0"/>
  <w:clrSchemeMapping/>
</w:settings>
</file>

<file path=word/styles.xml><?xml version="1.0" encoding="utf-8"?>
<w:styles xmlns:w="http://schemas.openxmlformats.org/wordprocessingml/2006/main">
  <w:docDefaults>
    <w:rPrDefault>
      <w:rPr>
        <w:rFonts w:ascii="Calibri" w:hAnsi="Calibri"/>
        <w:b w:val="0"/>
        <w:i w:val="0"/>
        <w:caps w:val="0"/>
        <w:strike w:val="0"/>
        <w:noProof w:val="0"/>
        <w:vanish w:val="0"/>
        <w:color w:val="auto"/>
        <w:sz w:val="22"/>
        <w:u w:val="none"/>
        <w:vertAlign w:val="baseline"/>
      </w:rPr>
    </w:rPrDefault>
    <w:pPrDefault>
      <w:pPr>
        <w:keepNext w:val="0"/>
        <w:keepLines w:val="0"/>
        <w:widowControl w:val="1"/>
        <w:suppressLineNumbers w:val="0"/>
        <w:shd w:val="clear" w:fill="auto"/>
        <w:suppressAutoHyphens w:val="0"/>
        <w:spacing w:lineRule="auto" w:line="276" w:before="0" w:after="200" w:beforeAutospacing="0" w:afterAutospacing="0"/>
        <w:ind w:firstLine="0" w:left="0" w:right="0"/>
        <w:contextualSpacing w:val="0"/>
        <w:jc w:val="left"/>
      </w:pPr>
    </w:pPrDefault>
  </w:docDefaults>
  <w:style w:type="paragraph" w:styleId="P0" w:default="1">
    <w:name w:val="Normal"/>
    <w:pPr/>
    <w:rPr/>
  </w:style>
  <w:style w:type="paragraph" w:styleId="P1">
    <w:name w:val="Основной текст (2)1"/>
    <w:basedOn w:val="P0"/>
    <w:pPr>
      <w:shd w:val="clear" w:fill="FFFFFF"/>
      <w:spacing w:lineRule="exact" w:line="480" w:after="0"/>
      <w:jc w:val="both"/>
    </w:pPr>
    <w:rPr>
      <w:rFonts w:ascii="Times New Roman" w:hAnsi="Times New Roman"/>
      <w:sz w:val="28"/>
    </w:rPr>
  </w:style>
  <w:style w:type="paragraph" w:styleId="P2">
    <w:name w:val="Основной текст (4)"/>
    <w:basedOn w:val="P0"/>
    <w:pPr>
      <w:shd w:val="clear" w:fill="FFFFFF"/>
      <w:spacing w:lineRule="exact" w:line="475" w:after="0"/>
      <w:ind w:firstLine="740"/>
      <w:jc w:val="both"/>
    </w:pPr>
    <w:rPr>
      <w:rFonts w:ascii="Times New Roman" w:hAnsi="Times New Roman"/>
      <w:sz w:val="28"/>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character" w:styleId="C3">
    <w:name w:val="Основной текст (2)_"/>
    <w:rPr>
      <w:rFonts w:ascii="Times New Roman" w:hAnsi="Times New Roman"/>
      <w:sz w:val="32"/>
    </w:rPr>
  </w:style>
  <w:style w:type="table" w:styleId="T0" w:default="1">
    <w:name w:val="Normal Table"/>
    <w:tblPr>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s>
</file>

<file path=word/_rels/document.xml.rels><?xml version="1.0" encoding="utf-8"?><Relationships xmlns="http://schemas.openxmlformats.org/package/2006/relationships"><Relationship Id="RelFtr1" Type="http://schemas.openxmlformats.org/officeDocument/2006/relationships/footer" Target="footer1.xml" /><Relationship Id="RelFtr2" Type="http://schemas.openxmlformats.org/officeDocument/2006/relationships/footer" Target="footer2.xml"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