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widowControl w:val="0"/>
        <w:spacing w:after="0"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Гевик Ю. В.</w:t>
      </w:r>
      <w:r w:rsidDel="00000000" w:rsidR="00000000" w:rsidRPr="00000000">
        <w:rPr>
          <w:rFonts w:ascii="Times New Roman" w:cs="Times New Roman" w:eastAsia="Times New Roman" w:hAnsi="Times New Roman"/>
          <w:sz w:val="28"/>
          <w:szCs w:val="28"/>
          <w:rtl w:val="0"/>
        </w:rPr>
        <w:t xml:space="preserve"> Лексико-стилістична організація повістей Григора Тютюнника «Климко» та «Вогник далеко в степу»: мовознавчий та лінгводидактичний виміри: кваліфікаційна робота на здобуття освітнього ступеня «магістр» зі спеціальності 014 Середня освіта. Тернопіль: ТНПУ, 2025. 100 с.</w:t>
      </w:r>
    </w:p>
    <w:p w:rsidR="00000000" w:rsidDel="00000000" w:rsidP="00000000" w:rsidRDefault="00000000" w:rsidRPr="00000000" w14:paraId="00000004">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Кваліфікаційну роботу присвячено комплексному дослідженню лексико-стилістичної організації повістей Григора Тютюнника «Климко» та «Вогник далеко в степу». З’ясовано роль емоційної лексики як ключового засобу психологізму та моделювання внутрішнього світу персонажів. Застосовано інтегративний підхід, що поєднує традиційні філологічні методи із засобами комп’ютерної лінгвістики (корпусний менеджер Sketch Engine).</w:t>
      </w:r>
    </w:p>
    <w:p w:rsidR="00000000" w:rsidDel="00000000" w:rsidP="00000000" w:rsidRDefault="00000000" w:rsidRPr="00000000" w14:paraId="00000006">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Встановлено, що індивідуальний стиль письменника характеризується соматизацією емоцій, естетикою мовчання та високою частотністю лексем на позначення внутрішніх станів. Виявлено динаміку авторського світобачення: від домінування лексики страху й болю у повісті «Климко» до активізації семантичних полів надії та тепла у творі «Вогник далеко в степу».</w:t>
      </w:r>
    </w:p>
    <w:p w:rsidR="00000000" w:rsidDel="00000000" w:rsidP="00000000" w:rsidRDefault="00000000" w:rsidRPr="00000000" w14:paraId="00000007">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Обґрунтовано лінгводидактичний потенціал аналізу емоційної лексики на уроках української літератури в контексті Нової української школи. Розроблено систему компетентнісно орієнтованих завдань для учнів 10–11 класів, спрямовану на розвиток читацької та емоційно-ціннісної компетентностей.</w:t>
      </w:r>
    </w:p>
    <w:p w:rsidR="00000000" w:rsidDel="00000000" w:rsidP="00000000" w:rsidRDefault="00000000" w:rsidRPr="00000000" w14:paraId="00000008">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Григір Тютюнник, ідіостиль, емоційна лексика, психологізм, комп’ютерна лінгвістика, Sketch Engine, лінгводидактика.</w:t>
      </w:r>
    </w:p>
    <w:p w:rsidR="00000000" w:rsidDel="00000000" w:rsidP="00000000" w:rsidRDefault="00000000" w:rsidRPr="00000000" w14:paraId="00000009">
      <w:pPr>
        <w:spacing w:after="0" w:lineRule="auto"/>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5527358</wp:posOffset>
                </wp:positionH>
                <wp:positionV relativeFrom="paragraph">
                  <wp:posOffset>1138238</wp:posOffset>
                </wp:positionV>
                <wp:extent cx="573405" cy="443865"/>
                <wp:effectExtent b="0" l="0" r="0" t="0"/>
                <wp:wrapNone/>
                <wp:docPr id="1" name=""/>
                <a:graphic>
                  <a:graphicData uri="http://schemas.microsoft.com/office/word/2010/wordprocessingShape">
                    <wps:wsp>
                      <wps:cNvSpPr/>
                      <wps:cNvPr id="2" name="Shape 2"/>
                      <wps:spPr>
                        <a:xfrm>
                          <a:off x="5064060" y="3562830"/>
                          <a:ext cx="563880" cy="43434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5527358</wp:posOffset>
                </wp:positionH>
                <wp:positionV relativeFrom="paragraph">
                  <wp:posOffset>1138238</wp:posOffset>
                </wp:positionV>
                <wp:extent cx="573405" cy="44386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73405" cy="443865"/>
                        </a:xfrm>
                        <a:prstGeom prst="rect"/>
                        <a:ln/>
                      </pic:spPr>
                    </pic:pic>
                  </a:graphicData>
                </a:graphic>
              </wp:anchor>
            </w:drawing>
          </mc:Fallback>
        </mc:AlternateContent>
      </w:r>
    </w:p>
    <w:p w:rsidR="00000000" w:rsidDel="00000000" w:rsidP="00000000" w:rsidRDefault="00000000" w:rsidRPr="00000000" w14:paraId="0000000A">
      <w:pPr>
        <w:widowControl w:val="0"/>
        <w:spacing w:after="0" w:line="360" w:lineRule="auto"/>
        <w:ind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B">
      <w:pPr>
        <w:widowControl w:val="0"/>
        <w:spacing w:after="0"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Hevyk Y. V. </w:t>
      </w:r>
      <w:r w:rsidDel="00000000" w:rsidR="00000000" w:rsidRPr="00000000">
        <w:rPr>
          <w:rFonts w:ascii="Times New Roman" w:cs="Times New Roman" w:eastAsia="Times New Roman" w:hAnsi="Times New Roman"/>
          <w:sz w:val="28"/>
          <w:szCs w:val="28"/>
          <w:rtl w:val="0"/>
        </w:rPr>
        <w:t xml:space="preserve">Lexical and stylistic organization of Grigor Tyutiunnyk's stories "Klymko" and "A Spark Far Away in the Steppe": linguistic and linguodidactic dimensions: qualification work for obtaining an educational degree «Master» in the specialty 014 Secondary Education. Ternopil: Ternopil Volodymyr Hnatiuk National Pedagogical University, 2025. 118 p.</w:t>
      </w:r>
    </w:p>
    <w:p w:rsidR="00000000" w:rsidDel="00000000" w:rsidP="00000000" w:rsidRDefault="00000000" w:rsidRPr="00000000" w14:paraId="0000000D">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qualification work is dedicated to a comprehensive study of the lexical and stylistic organization of Hryhir Tiutiunnyk’s novellas «Klymko» and «A Light Far in the Steppe». The role of emotional vocabulary as a key means of psychologism and modeling of characters' inner world is clarified. An integrative approach combining traditional philological methods with computational linguistics tools (Sketch Engine corpus manager) is applied.</w:t>
      </w:r>
    </w:p>
    <w:p w:rsidR="00000000" w:rsidDel="00000000" w:rsidP="00000000" w:rsidRDefault="00000000" w:rsidRPr="00000000" w14:paraId="0000000F">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has been established that the writer's individual style is characterized by the somatization of emotions, the aesthetics of silence, and a high frequency of tokens denoting internal states. The dynamics of the author's worldview are revealed: from the dominance of vocabulary of fear and pain in the novella «Klymko» to the activation of semantic fields of hope and warmth in the work «A Light Far in the Steppe».</w:t>
      </w:r>
    </w:p>
    <w:p w:rsidR="00000000" w:rsidDel="00000000" w:rsidP="00000000" w:rsidRDefault="00000000" w:rsidRPr="00000000" w14:paraId="00000010">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linguodidactic potential of analyzing emotional vocabulary in Ukrainian literature lessons within the context of the New Ukrainian School is substantiated. A system of competence-oriented tasks for 10–11th grade students, aimed at developing reading and emotional-value competencies, has been developed.</w:t>
      </w:r>
    </w:p>
    <w:p w:rsidR="00000000" w:rsidDel="00000000" w:rsidP="00000000" w:rsidRDefault="00000000" w:rsidRPr="00000000" w14:paraId="00000011">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 words:</w:t>
      </w:r>
      <w:r w:rsidDel="00000000" w:rsidR="00000000" w:rsidRPr="00000000">
        <w:rPr>
          <w:rFonts w:ascii="Times New Roman" w:cs="Times New Roman" w:eastAsia="Times New Roman" w:hAnsi="Times New Roman"/>
          <w:sz w:val="28"/>
          <w:szCs w:val="28"/>
          <w:rtl w:val="0"/>
        </w:rPr>
        <w:t xml:space="preserve"> Hryhir Tiutiunnyk, individual style, emotional vocabulary, psychologism, computational linguistics, Sketch Engine, linguodidactic.</w:t>
      </w:r>
    </w:p>
    <w:p w:rsidR="00000000" w:rsidDel="00000000" w:rsidP="00000000" w:rsidRDefault="00000000" w:rsidRPr="00000000" w14:paraId="00000012">
      <w:pPr>
        <w:widowControl w:val="0"/>
        <w:spacing w:after="0" w:line="360" w:lineRule="auto"/>
        <w:ind w:firstLine="720"/>
        <w:jc w:val="both"/>
        <w:rPr>
          <w:rFonts w:ascii="Times New Roman" w:cs="Times New Roman" w:eastAsia="Times New Roman" w:hAnsi="Times New Roman"/>
          <w:i w:val="1"/>
          <w:i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5597843</wp:posOffset>
                </wp:positionH>
                <wp:positionV relativeFrom="paragraph">
                  <wp:posOffset>1108393</wp:posOffset>
                </wp:positionV>
                <wp:extent cx="573405" cy="443865"/>
                <wp:effectExtent b="0" l="0" r="0" t="0"/>
                <wp:wrapNone/>
                <wp:docPr id="2" name=""/>
                <a:graphic>
                  <a:graphicData uri="http://schemas.microsoft.com/office/word/2010/wordprocessingShape">
                    <wps:wsp>
                      <wps:cNvSpPr/>
                      <wps:cNvPr id="3" name="Shape 3"/>
                      <wps:spPr>
                        <a:xfrm>
                          <a:off x="5064060" y="3562830"/>
                          <a:ext cx="563880" cy="43434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5597843</wp:posOffset>
                </wp:positionH>
                <wp:positionV relativeFrom="paragraph">
                  <wp:posOffset>1108393</wp:posOffset>
                </wp:positionV>
                <wp:extent cx="573405" cy="44386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73405" cy="443865"/>
                        </a:xfrm>
                        <a:prstGeom prst="rect"/>
                        <a:ln/>
                      </pic:spPr>
                    </pic:pic>
                  </a:graphicData>
                </a:graphic>
              </wp:anchor>
            </w:drawing>
          </mc:Fallback>
        </mc:AlternateContent>
      </w:r>
    </w:p>
    <w:p w:rsidR="00000000" w:rsidDel="00000000" w:rsidP="00000000" w:rsidRDefault="00000000" w:rsidRPr="00000000" w14:paraId="00000013">
      <w:pPr>
        <w:widowControl w:val="0"/>
        <w:spacing w:after="0" w:before="0"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widowControl w:val="0"/>
        <w:spacing w:after="0" w:before="0" w:line="360" w:lineRule="auto"/>
        <w:jc w:val="both"/>
        <w:rPr>
          <w:rFonts w:ascii="Times New Roman" w:cs="Times New Roman" w:eastAsia="Times New Roman" w:hAnsi="Times New Roman"/>
          <w:sz w:val="28"/>
          <w:szCs w:val="28"/>
        </w:rPr>
      </w:pPr>
      <w:r w:rsidDel="00000000" w:rsidR="00000000" w:rsidRPr="00000000">
        <w:rPr>
          <w:rtl w:val="0"/>
        </w:rPr>
      </w:r>
    </w:p>
    <w:sectPr>
      <w:headerReference r:id="rId7" w:type="default"/>
      <w:pgSz w:h="16838" w:w="11906" w:orient="portrait"/>
      <w:pgMar w:bottom="1133.8582677165355" w:top="1133.8582677165355" w:left="1700.7874015748032" w:right="566.929133858267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