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52674">
      <w:pPr>
        <w:spacing w:line="360" w:lineRule="auto"/>
        <w:ind w:firstLine="709"/>
        <w:jc w:val="center"/>
        <w:rPr>
          <w:rFonts w:hint="default" w:ascii="Times New Roman" w:hAnsi="Times New Roman" w:cs="Times New Roman"/>
          <w:b/>
          <w:sz w:val="28"/>
          <w:szCs w:val="28"/>
        </w:rPr>
      </w:pPr>
      <w:r>
        <w:rPr>
          <w:rFonts w:hint="default" w:ascii="Times New Roman" w:hAnsi="Times New Roman" w:cs="Times New Roman"/>
          <w:b/>
          <w:sz w:val="28"/>
          <w:szCs w:val="28"/>
          <w:lang w:val="uk-UA"/>
        </w:rPr>
        <w:t>А</w:t>
      </w:r>
      <w:r>
        <w:rPr>
          <w:rFonts w:hint="default" w:ascii="Times New Roman" w:hAnsi="Times New Roman" w:cs="Times New Roman"/>
          <w:b/>
          <w:sz w:val="28"/>
          <w:szCs w:val="28"/>
        </w:rPr>
        <w:t>НОТАЦІЯ</w:t>
      </w:r>
    </w:p>
    <w:p w14:paraId="2B865401">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8"/>
          <w:szCs w:val="28"/>
        </w:rPr>
      </w:pPr>
      <w:r>
        <w:rPr>
          <w:rFonts w:hint="default" w:ascii="Times New Roman" w:hAnsi="Times New Roman" w:cs="Times New Roman"/>
          <w:b/>
          <w:bCs w:val="0"/>
          <w:sz w:val="28"/>
          <w:szCs w:val="28"/>
          <w:lang w:val="uk-UA"/>
        </w:rPr>
        <w:t xml:space="preserve">Носилевська Т.В. </w:t>
      </w:r>
      <w:r>
        <w:rPr>
          <w:rStyle w:val="92"/>
          <w:rFonts w:hint="default" w:ascii="Times New Roman" w:hAnsi="Times New Roman" w:cs="Times New Roman"/>
          <w:b w:val="0"/>
          <w:bCs/>
          <w:sz w:val="28"/>
          <w:szCs w:val="28"/>
        </w:rPr>
        <w:t>Сакральна архітектура Городоччини Львівської області</w:t>
      </w:r>
      <w:r>
        <w:rPr>
          <w:rStyle w:val="92"/>
          <w:rFonts w:hint="default" w:ascii="Times New Roman" w:hAnsi="Times New Roman" w:cs="Times New Roman"/>
          <w:b w:val="0"/>
          <w:bCs/>
          <w:sz w:val="28"/>
          <w:szCs w:val="28"/>
          <w:lang w:val="uk-UA"/>
        </w:rPr>
        <w:t>. К</w:t>
      </w:r>
      <w:r>
        <w:rPr>
          <w:rFonts w:hint="default" w:ascii="Times New Roman" w:hAnsi="Times New Roman" w:eastAsia="SimSun" w:cs="Times New Roman"/>
          <w:b w:val="0"/>
          <w:bCs/>
          <w:sz w:val="28"/>
          <w:szCs w:val="28"/>
        </w:rPr>
        <w:t xml:space="preserve">валіфікаційна робота на здобуття освітнього ступеня «магістр» зі спеціальності </w:t>
      </w:r>
      <w:r>
        <w:rPr>
          <w:rStyle w:val="92"/>
          <w:rFonts w:hint="default" w:ascii="Times New Roman" w:hAnsi="Times New Roman" w:eastAsia="SimSun" w:cs="Times New Roman"/>
          <w:b w:val="0"/>
          <w:bCs/>
          <w:sz w:val="28"/>
          <w:szCs w:val="28"/>
        </w:rPr>
        <w:t>014 Середня освіта (Історія)</w:t>
      </w:r>
      <w:r>
        <w:rPr>
          <w:rStyle w:val="92"/>
          <w:rFonts w:hint="default" w:ascii="Times New Roman" w:hAnsi="Times New Roman" w:eastAsia="SimSun" w:cs="Times New Roman"/>
          <w:b w:val="0"/>
          <w:bCs/>
          <w:sz w:val="28"/>
          <w:szCs w:val="28"/>
          <w:lang w:val="uk-UA"/>
        </w:rPr>
        <w:t xml:space="preserve">. </w:t>
      </w:r>
      <w:r>
        <w:rPr>
          <w:rFonts w:hint="default" w:ascii="Times New Roman" w:hAnsi="Times New Roman" w:eastAsia="SimSun" w:cs="Times New Roman"/>
          <w:b w:val="0"/>
          <w:bCs/>
          <w:color w:val="000000"/>
          <w:kern w:val="0"/>
          <w:sz w:val="28"/>
          <w:szCs w:val="28"/>
          <w:lang w:val="en-US" w:eastAsia="zh-CN" w:bidi="ar"/>
        </w:rPr>
        <w:t xml:space="preserve">ТНПУ ім. В. Гнатюка. </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uk-UA"/>
        </w:rPr>
        <w:t>Т</w:t>
      </w:r>
      <w:r>
        <w:rPr>
          <w:rFonts w:hint="default" w:ascii="Times New Roman" w:hAnsi="Times New Roman" w:cs="Times New Roman"/>
          <w:b w:val="0"/>
          <w:bCs/>
          <w:sz w:val="28"/>
          <w:szCs w:val="28"/>
        </w:rPr>
        <w:t xml:space="preserve">ернопіль, 2025.  </w:t>
      </w:r>
      <w:r>
        <w:rPr>
          <w:rFonts w:hint="default" w:ascii="Times New Roman" w:hAnsi="Times New Roman" w:cs="Times New Roman"/>
          <w:b w:val="0"/>
          <w:bCs/>
          <w:sz w:val="28"/>
          <w:szCs w:val="28"/>
          <w:lang w:val="uk-UA"/>
        </w:rPr>
        <w:t xml:space="preserve">93 </w:t>
      </w:r>
      <w:r>
        <w:rPr>
          <w:rFonts w:hint="default" w:ascii="Times New Roman" w:hAnsi="Times New Roman" w:cs="Times New Roman"/>
          <w:b w:val="0"/>
          <w:bCs/>
          <w:sz w:val="28"/>
          <w:szCs w:val="28"/>
        </w:rPr>
        <w:t>с.</w:t>
      </w:r>
    </w:p>
    <w:p w14:paraId="34638F74">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8"/>
          <w:szCs w:val="28"/>
        </w:rPr>
      </w:pPr>
    </w:p>
    <w:p w14:paraId="5400AC3E">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Segoe UI" w:cs="Times New Roman"/>
          <w:i w:val="0"/>
          <w:iCs w:val="0"/>
          <w:caps w:val="0"/>
          <w:color w:val="242424"/>
          <w:spacing w:val="0"/>
          <w:sz w:val="28"/>
          <w:szCs w:val="28"/>
        </w:rPr>
      </w:pPr>
      <w:r>
        <w:rPr>
          <w:rFonts w:hint="default" w:ascii="Times New Roman" w:hAnsi="Times New Roman" w:eastAsia="Segoe UI" w:cs="Times New Roman"/>
          <w:i w:val="0"/>
          <w:iCs w:val="0"/>
          <w:caps w:val="0"/>
          <w:color w:val="242424"/>
          <w:spacing w:val="0"/>
          <w:sz w:val="28"/>
          <w:szCs w:val="28"/>
        </w:rPr>
        <w:t xml:space="preserve">Магістерська робота присвячена всебічному дослідженню сакральної архітектури Городоччини у Львівській області, яка є невід'ємною складовою історико-культурної спадщини регіону. У ній, спираючись на багатий комплекс архівних матеріалів, історико-географічних джерел, наукових розробок та краєзнавчих досліджень, проведено аналіз еволюції архітектурного середовища міста Городка та навколишніх сіл від середньовіччя до наших днів. У роботі висвітлено процеси формування міського простору, розвиток оборонних споруд, а також детально розглянуто сакральні об’єкти, серед яких костел Воздвиження Чесного Хреста, дерев’яні церкви Святого Івана Хрестителя та Святого Миколая. Також здійснено аналіз сакральних пам’яток сільської Городоччини. Окрема увага приділена втраченій спадщині, зокрема залишкам замкового комплексу, історичним синагогам та іншим об’єктам єврейського містечка Гнін. </w:t>
      </w:r>
    </w:p>
    <w:p w14:paraId="51487353">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Segoe UI" w:cs="Times New Roman"/>
          <w:i w:val="0"/>
          <w:iCs w:val="0"/>
          <w:caps w:val="0"/>
          <w:color w:val="242424"/>
          <w:spacing w:val="0"/>
          <w:sz w:val="28"/>
          <w:szCs w:val="28"/>
        </w:rPr>
      </w:pPr>
      <w:r>
        <w:rPr>
          <w:rFonts w:hint="default" w:ascii="Times New Roman" w:hAnsi="Times New Roman" w:eastAsia="Segoe UI" w:cs="Times New Roman"/>
          <w:i w:val="0"/>
          <w:iCs w:val="0"/>
          <w:caps w:val="0"/>
          <w:color w:val="242424"/>
          <w:spacing w:val="0"/>
          <w:sz w:val="28"/>
          <w:szCs w:val="28"/>
        </w:rPr>
        <w:t xml:space="preserve">Дослідження дає змогу прослідкувати стильові зміни у сакральній архітектурі регіону, відображаючи впливи готичного, ренесансного, барокового, класичного стилів та традицій народної дерев’яної архітектури. Вивчено сучасний стан цих пам’яток і підкреслено їхню роль у формуванні історичної пам’яті місцевої спільноти. Робота має вагоме практичне значення для краєзнавчих студій, освітніх проєктів, збереження культурної спадщини та популяризації регіону як туристичного напряму. </w:t>
      </w:r>
    </w:p>
    <w:p w14:paraId="0F692184">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eastAsia="Segoe UI" w:cs="Times New Roman"/>
          <w:i w:val="0"/>
          <w:iCs w:val="0"/>
          <w:caps w:val="0"/>
          <w:color w:val="242424"/>
          <w:spacing w:val="0"/>
          <w:sz w:val="28"/>
          <w:szCs w:val="28"/>
          <w:u w:val="single"/>
        </w:rPr>
        <w:t>Ключові слова:</w:t>
      </w:r>
      <w:r>
        <w:rPr>
          <w:rFonts w:hint="default" w:ascii="Times New Roman" w:hAnsi="Times New Roman" w:eastAsia="Segoe UI" w:cs="Times New Roman"/>
          <w:i w:val="0"/>
          <w:iCs w:val="0"/>
          <w:caps w:val="0"/>
          <w:color w:val="242424"/>
          <w:spacing w:val="0"/>
          <w:sz w:val="28"/>
          <w:szCs w:val="28"/>
        </w:rPr>
        <w:t xml:space="preserve"> Городок; Городоччина; сакральна архітектура; історико-архітектурна спадщина; релігійні споруди; краєзнавчі дослідження; збереження культурної спадщини.</w:t>
      </w:r>
    </w:p>
    <w:p w14:paraId="180C5C1A">
      <w:pPr>
        <w:spacing w:line="360" w:lineRule="auto"/>
        <w:ind w:firstLine="709"/>
        <w:jc w:val="center"/>
        <w:rPr>
          <w:rFonts w:hint="default" w:ascii="Times New Roman" w:hAnsi="Times New Roman" w:cs="Times New Roman"/>
          <w:sz w:val="28"/>
          <w:szCs w:val="28"/>
          <w:lang w:val="en-US"/>
        </w:rPr>
      </w:pPr>
      <w:r>
        <w:rPr>
          <w:rFonts w:hint="default" w:ascii="Times New Roman" w:hAnsi="Times New Roman" w:cs="Times New Roman"/>
          <w:sz w:val="28"/>
          <w:szCs w:val="28"/>
        </w:rPr>
        <w:br w:type="page"/>
      </w:r>
      <w:r>
        <w:rPr>
          <w:rFonts w:hint="default" w:ascii="Times New Roman" w:hAnsi="Times New Roman" w:cs="Times New Roman"/>
          <w:b/>
          <w:sz w:val="28"/>
          <w:szCs w:val="28"/>
          <w:lang w:val="en-US"/>
        </w:rPr>
        <w:t>SUMMARY</w:t>
      </w:r>
    </w:p>
    <w:p w14:paraId="4A54916F">
      <w:pPr>
        <w:keepNext w:val="0"/>
        <w:keepLines w:val="0"/>
        <w:widowControl/>
        <w:suppressLineNumbers w:val="0"/>
        <w:spacing w:line="360" w:lineRule="auto"/>
        <w:ind w:firstLine="720" w:firstLineChars="0"/>
        <w:jc w:val="both"/>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Nosylevska T.V.</w:t>
      </w:r>
      <w:r>
        <w:rPr>
          <w:rFonts w:hint="default" w:ascii="Times New Roman" w:hAnsi="Times New Roman" w:cs="Times New Roman"/>
          <w:b w:val="0"/>
          <w:bCs w:val="0"/>
          <w:sz w:val="28"/>
          <w:szCs w:val="28"/>
          <w:lang w:val="en-US"/>
        </w:rPr>
        <w:t xml:space="preserve"> Sacred architecture of Gorodok district, Lviv region</w:t>
      </w:r>
      <w:r>
        <w:rPr>
          <w:rFonts w:hint="default" w:ascii="Times New Roman" w:hAnsi="Times New Roman" w:cs="Times New Roman"/>
          <w:b w:val="0"/>
          <w:bCs w:val="0"/>
          <w:sz w:val="28"/>
          <w:szCs w:val="28"/>
          <w:lang w:val="uk-UA"/>
        </w:rPr>
        <w:t xml:space="preserve">. </w:t>
      </w:r>
      <w:r>
        <w:rPr>
          <w:rFonts w:hint="default" w:ascii="Times New Roman" w:hAnsi="Times New Roman" w:eastAsia="SimSun" w:cs="Times New Roman"/>
          <w:b w:val="0"/>
          <w:bCs w:val="0"/>
          <w:color w:val="000000"/>
          <w:kern w:val="0"/>
          <w:sz w:val="28"/>
          <w:szCs w:val="28"/>
          <w:lang w:val="en-US" w:eastAsia="zh-CN" w:bidi="ar"/>
        </w:rPr>
        <w:t>Master's thesis for the MA degree in the specialty 0</w:t>
      </w:r>
      <w:r>
        <w:rPr>
          <w:rFonts w:hint="default" w:ascii="Times New Roman" w:hAnsi="Times New Roman" w:eastAsia="SimSun" w:cs="Times New Roman"/>
          <w:b w:val="0"/>
          <w:bCs w:val="0"/>
          <w:color w:val="000000"/>
          <w:kern w:val="0"/>
          <w:sz w:val="28"/>
          <w:szCs w:val="28"/>
          <w:lang w:val="uk-UA" w:eastAsia="zh-CN" w:bidi="ar"/>
        </w:rPr>
        <w:t xml:space="preserve">14 </w:t>
      </w:r>
      <w:r>
        <w:rPr>
          <w:rFonts w:hint="default" w:ascii="Times New Roman" w:hAnsi="Times New Roman" w:eastAsia="SimSun" w:cs="Times New Roman"/>
          <w:b w:val="0"/>
          <w:bCs w:val="0"/>
          <w:sz w:val="28"/>
          <w:szCs w:val="28"/>
        </w:rPr>
        <w:t>Secondary Education (History)</w:t>
      </w:r>
      <w:r>
        <w:rPr>
          <w:rFonts w:hint="default" w:ascii="Times New Roman" w:hAnsi="Times New Roman" w:eastAsia="SimSun" w:cs="Times New Roman"/>
          <w:b w:val="0"/>
          <w:bCs w:val="0"/>
          <w:sz w:val="28"/>
          <w:szCs w:val="28"/>
          <w:lang w:val="uk-UA"/>
        </w:rPr>
        <w:t>и</w:t>
      </w:r>
      <w:r>
        <w:rPr>
          <w:rFonts w:hint="default" w:ascii="Times New Roman" w:hAnsi="Times New Roman" w:eastAsia="SimSun" w:cs="Times New Roman"/>
          <w:b w:val="0"/>
          <w:bCs w:val="0"/>
          <w:color w:val="000000"/>
          <w:kern w:val="0"/>
          <w:sz w:val="28"/>
          <w:szCs w:val="28"/>
          <w:lang w:val="en-US" w:eastAsia="zh-CN" w:bidi="ar"/>
        </w:rPr>
        <w:t>Ternopil Volodymyr Hnatiuk National Pedagogical University. Ternopil,</w:t>
      </w:r>
      <w:r>
        <w:rPr>
          <w:rFonts w:hint="default" w:ascii="Times New Roman" w:hAnsi="Times New Roman" w:eastAsia="SimSun" w:cs="Times New Roman"/>
          <w:b w:val="0"/>
          <w:bCs w:val="0"/>
          <w:color w:val="000000"/>
          <w:kern w:val="0"/>
          <w:sz w:val="28"/>
          <w:szCs w:val="28"/>
          <w:lang w:val="uk-UA" w:eastAsia="zh-CN" w:bidi="ar"/>
        </w:rPr>
        <w:t xml:space="preserve"> </w:t>
      </w:r>
      <w:r>
        <w:rPr>
          <w:rFonts w:hint="default" w:ascii="Times New Roman" w:hAnsi="Times New Roman" w:cs="Times New Roman"/>
          <w:b w:val="0"/>
          <w:bCs w:val="0"/>
          <w:sz w:val="28"/>
          <w:szCs w:val="28"/>
          <w:lang w:val="en-US"/>
        </w:rPr>
        <w:t xml:space="preserve">2025. </w:t>
      </w:r>
      <w:r>
        <w:rPr>
          <w:rFonts w:hint="default" w:ascii="Times New Roman" w:hAnsi="Times New Roman" w:cs="Times New Roman"/>
          <w:b w:val="0"/>
          <w:bCs w:val="0"/>
          <w:sz w:val="28"/>
          <w:szCs w:val="28"/>
          <w:lang w:val="uk-UA"/>
        </w:rPr>
        <w:t>93</w:t>
      </w:r>
      <w:r>
        <w:rPr>
          <w:rFonts w:hint="default" w:ascii="Times New Roman" w:hAnsi="Times New Roman" w:cs="Times New Roman"/>
          <w:b w:val="0"/>
          <w:bCs w:val="0"/>
          <w:sz w:val="28"/>
          <w:szCs w:val="28"/>
          <w:lang w:val="en-US"/>
        </w:rPr>
        <w:t xml:space="preserve"> p.</w:t>
      </w:r>
    </w:p>
    <w:p w14:paraId="6790E7CB">
      <w:pPr>
        <w:keepNext w:val="0"/>
        <w:keepLines w:val="0"/>
        <w:widowControl/>
        <w:suppressLineNumbers w:val="0"/>
        <w:spacing w:line="360" w:lineRule="auto"/>
        <w:jc w:val="both"/>
        <w:rPr>
          <w:rFonts w:hint="default" w:ascii="Times New Roman" w:hAnsi="Times New Roman" w:cs="Times New Roman"/>
          <w:b w:val="0"/>
          <w:bCs w:val="0"/>
          <w:sz w:val="28"/>
          <w:szCs w:val="28"/>
          <w:lang w:val="en-US"/>
        </w:rPr>
      </w:pPr>
    </w:p>
    <w:p w14:paraId="32F06776">
      <w:pPr>
        <w:spacing w:line="360" w:lineRule="auto"/>
        <w:ind w:firstLine="709"/>
        <w:jc w:val="both"/>
        <w:rPr>
          <w:rFonts w:hint="default" w:ascii="Times New Roman" w:hAnsi="Times New Roman" w:cs="Times New Roman"/>
          <w:sz w:val="28"/>
          <w:szCs w:val="28"/>
          <w:lang w:val="en-US"/>
        </w:rPr>
      </w:pPr>
      <w:r>
        <w:rPr>
          <w:rFonts w:hint="default" w:ascii="Times New Roman" w:hAnsi="Times New Roman" w:cs="Times New Roman"/>
          <w:b w:val="0"/>
          <w:bCs w:val="0"/>
          <w:sz w:val="28"/>
          <w:szCs w:val="28"/>
          <w:lang w:val="en-US"/>
        </w:rPr>
        <w:t>The m</w:t>
      </w:r>
      <w:r>
        <w:rPr>
          <w:rFonts w:hint="default" w:ascii="Times New Roman" w:hAnsi="Times New Roman" w:cs="Times New Roman"/>
          <w:sz w:val="28"/>
          <w:szCs w:val="28"/>
          <w:lang w:val="en-US"/>
        </w:rPr>
        <w:t>aster's thesis is devoted to a comprehensive study</w:t>
      </w:r>
      <w:bookmarkStart w:id="0" w:name="_GoBack"/>
      <w:bookmarkEnd w:id="0"/>
      <w:r>
        <w:rPr>
          <w:rFonts w:hint="default" w:ascii="Times New Roman" w:hAnsi="Times New Roman" w:cs="Times New Roman"/>
          <w:sz w:val="28"/>
          <w:szCs w:val="28"/>
          <w:lang w:val="en-US"/>
        </w:rPr>
        <w:t xml:space="preserve"> of the sacred architecture of the Gorodok region in the Lviv region, which is an integral part of the historical and cultural heritage of the region. In it, based on a rich set of archival materials, historical and geographical sources, scientific developments and local history studies, an analysis of the evolution of the architectural environment of the city of Gorodok and the surrounding villages from the Middle Ages to the present day is carried out. The work highlights the processes of the formation of urban space, the development of defensive structures, and also examines in detail sacred objects, including the Church of the Exaltation of the Holy Cross, the wooden churches of St. John the Baptist and St. Nicholas. An analysis of the sacred monuments of the rural Gorodok region is also carried out. Special attention is paid to the lost heritage, in particular the remains of the castle complex, historical synagogues and other objects of the Jewish town of Gnin.</w:t>
      </w:r>
    </w:p>
    <w:p w14:paraId="61E54BB2">
      <w:pPr>
        <w:spacing w:line="360" w:lineRule="auto"/>
        <w:ind w:firstLine="709"/>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study allows us to trace the stylistic changes in the sacred architecture of the region, reflecting the influences of Gothic, Renaissance, Baroque, Classical styles and traditions of folk wooden architecture. The current state of these monuments is studied and their role in the formation of the historical memory of the local community is emphasized. The work has significant practical significance for local history studies, educational projects, preservation of cultural heritage and popularization of the region as a tourist destination.</w:t>
      </w:r>
    </w:p>
    <w:p w14:paraId="256D95DD">
      <w:pPr>
        <w:spacing w:line="360" w:lineRule="auto"/>
        <w:ind w:firstLine="709"/>
        <w:jc w:val="both"/>
      </w:pPr>
      <w:r>
        <w:rPr>
          <w:rFonts w:hint="default" w:ascii="Times New Roman" w:hAnsi="Times New Roman" w:cs="Times New Roman"/>
          <w:sz w:val="28"/>
          <w:szCs w:val="28"/>
          <w:u w:val="single"/>
          <w:lang w:val="en-US"/>
        </w:rPr>
        <w:t>Key</w:t>
      </w:r>
      <w:r>
        <w:rPr>
          <w:rFonts w:hint="default" w:ascii="Times New Roman" w:hAnsi="Times New Roman" w:cs="Times New Roman"/>
          <w:sz w:val="28"/>
          <w:szCs w:val="28"/>
          <w:u w:val="single"/>
          <w:lang w:val="uk-UA"/>
        </w:rPr>
        <w:t xml:space="preserve"> </w:t>
      </w:r>
      <w:r>
        <w:rPr>
          <w:rFonts w:hint="default" w:ascii="Times New Roman" w:hAnsi="Times New Roman" w:cs="Times New Roman"/>
          <w:sz w:val="28"/>
          <w:szCs w:val="28"/>
          <w:u w:val="single"/>
          <w:lang w:val="en-US"/>
        </w:rPr>
        <w:t>words:</w:t>
      </w:r>
      <w:r>
        <w:rPr>
          <w:rFonts w:hint="default" w:ascii="Times New Roman" w:hAnsi="Times New Roman" w:cs="Times New Roman"/>
          <w:sz w:val="28"/>
          <w:szCs w:val="28"/>
          <w:lang w:val="en-US"/>
        </w:rPr>
        <w:t xml:space="preserve"> Gorodok; Gorodok region; sacred architecture; historical and architectural heritage; religious buildings; local history studies; preservation of cultural heritage.</w:t>
      </w:r>
    </w:p>
    <w:p w14:paraId="6C1F41AC"/>
    <w:sectPr>
      <w:headerReference r:id="rId3" w:type="default"/>
      <w:footerReference r:id="rId4" w:type="default"/>
      <w:pgSz w:w="11906" w:h="16838"/>
      <w:pgMar w:top="1134" w:right="850" w:bottom="1440"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F325">
    <w:pPr>
      <w:pStyle w:val="37"/>
      <w:tabs>
        <w:tab w:val="center" w:pos="4819"/>
        <w:tab w:val="right" w:pos="9639"/>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0175">
    <w:pPr>
      <w:pStyle w:val="40"/>
      <w:pBdr>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5E54C">
                          <w:pPr>
                            <w:pStyle w:val="4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14:paraId="49A5E54C">
                    <w:pPr>
                      <w:pStyle w:val="4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173E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B6173ED"/>
    <w:rsid w:val="78E3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Times New Roman" w:cs="Times New Roman"/>
      <w:b/>
      <w:bCs/>
      <w:kern w:val="44"/>
      <w:sz w:val="28"/>
      <w:szCs w:val="44"/>
      <w:lang w:val="uk-UA" w:eastAsia="uk-UA"/>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2025-12-15T17:27:00Z</dcterms:created>
  <dc:creator>User</dc:creator>
  <cp:lastModifiedBy>User</cp:lastModifiedBy>
  <dcterms:modified xsi:type="dcterms:W3CDTF">2025-12-15T18:45:50Z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18CD78B4EE314EB9BFEC4C66A9B206FB_11</vt:lpwstr>
  </property>
</Properties>
</file>