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906B5" w14:textId="77777777" w:rsidR="006D7FC6" w:rsidRDefault="006D7FC6" w:rsidP="006D7FC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C0590" wp14:editId="584E0D66">
                <wp:simplePos x="0" y="0"/>
                <wp:positionH relativeFrom="column">
                  <wp:posOffset>5809615</wp:posOffset>
                </wp:positionH>
                <wp:positionV relativeFrom="paragraph">
                  <wp:posOffset>-445135</wp:posOffset>
                </wp:positionV>
                <wp:extent cx="406400" cy="4127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12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1337A" id="Rectangle 1" o:spid="_x0000_s1026" style="position:absolute;margin-left:457.45pt;margin-top:-35.05pt;width:32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" fillcolor="white [3212]" strokecolor="white [3212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14:paraId="0CB3220D" w14:textId="77777777" w:rsidR="006D7FC6" w:rsidRDefault="006D7FC6" w:rsidP="006D7FC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E0D76" w14:textId="77777777" w:rsidR="006D7FC6" w:rsidRPr="005661F4" w:rsidRDefault="006D7FC6" w:rsidP="006D7FC6">
      <w:pPr>
        <w:spacing w:after="0" w:line="360" w:lineRule="auto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Антимис І. В.</w:t>
      </w:r>
      <w:r w:rsidRPr="00A2592C">
        <w:t xml:space="preserve"> </w:t>
      </w:r>
      <w:r w:rsidRPr="00A2592C">
        <w:rPr>
          <w:rFonts w:ascii="Times New Roman" w:hAnsi="Times New Roman" w:cs="Times New Roman"/>
          <w:sz w:val="28"/>
          <w:szCs w:val="28"/>
        </w:rPr>
        <w:t xml:space="preserve">Особливості відтворення діалектів та акцентів в українському </w:t>
      </w:r>
      <w:proofErr w:type="spellStart"/>
      <w:r w:rsidRPr="00A2592C">
        <w:rPr>
          <w:rFonts w:ascii="Times New Roman" w:hAnsi="Times New Roman" w:cs="Times New Roman"/>
          <w:sz w:val="28"/>
          <w:szCs w:val="28"/>
        </w:rPr>
        <w:t>кіноперекладі</w:t>
      </w:r>
      <w:proofErr w:type="spellEnd"/>
      <w:r w:rsidRPr="00A2592C">
        <w:rPr>
          <w:rFonts w:ascii="Times New Roman" w:hAnsi="Times New Roman" w:cs="Times New Roman"/>
          <w:sz w:val="28"/>
          <w:szCs w:val="28"/>
        </w:rPr>
        <w:t>. Кваліфікаційна робота на здобуття освітнього ступеня «магістр» зі спеціальності (</w:t>
      </w:r>
      <w:r w:rsidRPr="005661F4">
        <w:rPr>
          <w:rFonts w:ascii="Times New Roman" w:eastAsia="Times New Roman" w:hAnsi="Times New Roman" w:cs="Times New Roman"/>
          <w:color w:val="000000"/>
          <w:sz w:val="28"/>
          <w:szCs w:val="28"/>
        </w:rPr>
        <w:t>035.041 Філологія. Германські мови та літератури (переклад включно), перша – англійська (англійсько-український переклад)</w:t>
      </w:r>
      <w:r w:rsidRPr="00A2592C">
        <w:rPr>
          <w:rFonts w:ascii="Times New Roman" w:hAnsi="Times New Roman" w:cs="Times New Roman"/>
          <w:sz w:val="28"/>
          <w:szCs w:val="28"/>
        </w:rPr>
        <w:t xml:space="preserve"> ТНПУ ім. В. Гнатюка. Тернопіль, 2025. 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2592C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4C73F4F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D49290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FCD">
        <w:rPr>
          <w:rFonts w:ascii="Times New Roman" w:hAnsi="Times New Roman" w:cs="Times New Roman"/>
          <w:sz w:val="28"/>
          <w:szCs w:val="28"/>
        </w:rPr>
        <w:t>У магістерській роботі здійснено теоретико-методологічний аналіз основних підходів до вивчення діалектного мовлення та акцентів у лінгвістиці. Проведено аналіз перекладів англомовного фільму «</w:t>
      </w:r>
      <w:proofErr w:type="spellStart"/>
      <w:r w:rsidRPr="00EB1FCD">
        <w:rPr>
          <w:rFonts w:ascii="Times New Roman" w:hAnsi="Times New Roman" w:cs="Times New Roman"/>
          <w:sz w:val="28"/>
          <w:szCs w:val="28"/>
        </w:rPr>
        <w:t>Профі</w:t>
      </w:r>
      <w:proofErr w:type="spellEnd"/>
      <w:r w:rsidRPr="00EB1FCD">
        <w:rPr>
          <w:rFonts w:ascii="Times New Roman" w:hAnsi="Times New Roman" w:cs="Times New Roman"/>
          <w:sz w:val="28"/>
          <w:szCs w:val="28"/>
        </w:rPr>
        <w:t xml:space="preserve">» з метою визначення ефективності відтворення лексичних, фонетичних, граматичних та стилістичних особливостей оригіналу. Обґрунтовано значення прагматичної точності та збереження емоційного і соціокультурного забарвлення реплік у процесі дубляжу та субтитрування. Розроблено практичні рекомендації для перекладачів щодо збереження автентичності та функціонального значення діалектного мовлення у </w:t>
      </w:r>
      <w:proofErr w:type="spellStart"/>
      <w:r w:rsidRPr="00EB1FCD">
        <w:rPr>
          <w:rFonts w:ascii="Times New Roman" w:hAnsi="Times New Roman" w:cs="Times New Roman"/>
          <w:sz w:val="28"/>
          <w:szCs w:val="28"/>
        </w:rPr>
        <w:t>кіноперекладі</w:t>
      </w:r>
      <w:proofErr w:type="spellEnd"/>
      <w:r w:rsidRPr="00EB1FCD">
        <w:rPr>
          <w:rFonts w:ascii="Times New Roman" w:hAnsi="Times New Roman" w:cs="Times New Roman"/>
          <w:sz w:val="28"/>
          <w:szCs w:val="28"/>
        </w:rPr>
        <w:t>.</w:t>
      </w:r>
    </w:p>
    <w:p w14:paraId="2807887D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0BE5A6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FCD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EB1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акцент, </w:t>
      </w:r>
      <w:r w:rsidRPr="00EB1FCD">
        <w:rPr>
          <w:rFonts w:ascii="Times New Roman" w:hAnsi="Times New Roman" w:cs="Times New Roman"/>
          <w:sz w:val="28"/>
          <w:szCs w:val="28"/>
        </w:rPr>
        <w:t xml:space="preserve">діалект, </w:t>
      </w:r>
      <w:proofErr w:type="spellStart"/>
      <w:r w:rsidRPr="00EB1FCD">
        <w:rPr>
          <w:rFonts w:ascii="Times New Roman" w:hAnsi="Times New Roman" w:cs="Times New Roman"/>
          <w:sz w:val="28"/>
          <w:szCs w:val="28"/>
        </w:rPr>
        <w:t>кінопереклад</w:t>
      </w:r>
      <w:proofErr w:type="spellEnd"/>
      <w:r w:rsidRPr="00EB1FCD">
        <w:rPr>
          <w:rFonts w:ascii="Times New Roman" w:hAnsi="Times New Roman" w:cs="Times New Roman"/>
          <w:sz w:val="28"/>
          <w:szCs w:val="28"/>
        </w:rPr>
        <w:t>, український дубляж, культурна локалізація.</w:t>
      </w:r>
    </w:p>
    <w:p w14:paraId="1775DAAA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525891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C7DFB" w14:textId="77777777" w:rsidR="006D7FC6" w:rsidRPr="000A21DC" w:rsidRDefault="006D7FC6" w:rsidP="006D7FC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974">
        <w:rPr>
          <w:rFonts w:ascii="Times New Roman" w:hAnsi="Times New Roman" w:cs="Times New Roman"/>
          <w:b/>
          <w:bCs/>
          <w:sz w:val="28"/>
          <w:szCs w:val="28"/>
        </w:rPr>
        <w:t>ABSTRACT</w:t>
      </w:r>
    </w:p>
    <w:p w14:paraId="2119CEB7" w14:textId="77777777" w:rsidR="006D7FC6" w:rsidRDefault="006D7FC6" w:rsidP="006D7FC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C15B9" w14:textId="77777777" w:rsidR="006D7FC6" w:rsidRPr="005C5974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Antymys</w:t>
      </w:r>
      <w:proofErr w:type="spellEnd"/>
      <w:r w:rsidRPr="005C5974">
        <w:rPr>
          <w:rFonts w:ascii="Times New Roman" w:hAnsi="Times New Roman" w:cs="Times New Roman"/>
          <w:b/>
          <w:bCs/>
          <w:sz w:val="28"/>
          <w:szCs w:val="28"/>
        </w:rPr>
        <w:t xml:space="preserve"> I.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C597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reproduction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dialects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accents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obtaining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(</w:t>
      </w:r>
      <w:r w:rsidRPr="005661F4">
        <w:rPr>
          <w:rFonts w:ascii="Times New Roman" w:hAnsi="Times New Roman" w:cs="Times New Roman"/>
          <w:sz w:val="28"/>
          <w:szCs w:val="28"/>
        </w:rPr>
        <w:t xml:space="preserve">035.041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Philology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Germanic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languages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literatures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includes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>.-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Ukr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61F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5661F4">
        <w:rPr>
          <w:rFonts w:ascii="Times New Roman" w:hAnsi="Times New Roman" w:cs="Times New Roman"/>
          <w:sz w:val="28"/>
          <w:szCs w:val="28"/>
        </w:rPr>
        <w:t>)</w:t>
      </w:r>
      <w:r w:rsidRPr="005C5974">
        <w:rPr>
          <w:rFonts w:ascii="Times New Roman" w:hAnsi="Times New Roman" w:cs="Times New Roman"/>
          <w:sz w:val="28"/>
          <w:szCs w:val="28"/>
        </w:rPr>
        <w:t xml:space="preserve">. TNPU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named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V.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Hnatyuk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>, 2025. 9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C5974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2E7A52D8" w14:textId="77777777" w:rsidR="006D7FC6" w:rsidRPr="005C5974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8ED08" w14:textId="77777777" w:rsidR="006D7FC6" w:rsidRPr="005C5974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974">
        <w:rPr>
          <w:rFonts w:ascii="Times New Roman" w:hAnsi="Times New Roman" w:cs="Times New Roman"/>
          <w:sz w:val="28"/>
          <w:szCs w:val="28"/>
        </w:rPr>
        <w:lastRenderedPageBreak/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methodological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approaches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dialect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accents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linguistics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translations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English-language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Profi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determine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reproducing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lexical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phonetic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grammatical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stylistic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features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importance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pragmatic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accuracy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preservation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socio-cultural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coloring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lines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dubbing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subtitling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translators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preserving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authenticity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functional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significance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dialect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speech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>.</w:t>
      </w:r>
    </w:p>
    <w:p w14:paraId="283A071A" w14:textId="77777777" w:rsidR="006D7FC6" w:rsidRPr="005C5974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F36F4" w14:textId="77777777" w:rsidR="006D7FC6" w:rsidRDefault="006D7FC6" w:rsidP="006D7FC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5974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5C597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accent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dialect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film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translation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dubbing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cultural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974">
        <w:rPr>
          <w:rFonts w:ascii="Times New Roman" w:hAnsi="Times New Roman" w:cs="Times New Roman"/>
          <w:sz w:val="28"/>
          <w:szCs w:val="28"/>
        </w:rPr>
        <w:t>localization</w:t>
      </w:r>
      <w:proofErr w:type="spellEnd"/>
      <w:r w:rsidRPr="005C5974">
        <w:rPr>
          <w:rFonts w:ascii="Times New Roman" w:hAnsi="Times New Roman" w:cs="Times New Roman"/>
          <w:sz w:val="28"/>
          <w:szCs w:val="28"/>
        </w:rPr>
        <w:t>.</w:t>
      </w:r>
    </w:p>
    <w:p w14:paraId="7EBF679F" w14:textId="77777777" w:rsidR="00C53CDC" w:rsidRDefault="00C53CDC">
      <w:bookmarkStart w:id="0" w:name="_GoBack"/>
      <w:bookmarkEnd w:id="0"/>
    </w:p>
    <w:sectPr w:rsidR="00C53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48"/>
    <w:rsid w:val="006D7FC6"/>
    <w:rsid w:val="00C53CDC"/>
    <w:rsid w:val="00F7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77A1-3818-4404-BC6F-018882BD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FC6"/>
    <w:pPr>
      <w:spacing w:line="278" w:lineRule="auto"/>
    </w:pPr>
    <w:rPr>
      <w:rFonts w:eastAsiaTheme="minorEastAsia"/>
      <w:kern w:val="2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793</Characters>
  <Application>Microsoft Office Word</Application>
  <DocSecurity>0</DocSecurity>
  <Lines>6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Ілона</dc:creator>
  <cp:keywords/>
  <dc:description/>
  <cp:lastModifiedBy>Ілона</cp:lastModifiedBy>
  <cp:revision>2</cp:revision>
  <dcterms:created xsi:type="dcterms:W3CDTF">2025-12-16T08:48:00Z</dcterms:created>
  <dcterms:modified xsi:type="dcterms:W3CDTF">2025-12-16T08:48:00Z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c2c1bc38-7758-4fd1-b78f-2aa44f8ebb53</vt:lpwstr>
  </property>
</Properties>
</file>