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4C38D">
      <w:pPr>
        <w:pStyle w:val="5"/>
      </w:pPr>
      <w:r>
        <w:t>АНОТАЦІЯ</w:t>
      </w:r>
    </w:p>
    <w:p w14:paraId="11F3F223">
      <w:pPr>
        <w:spacing w:after="0" w:line="360" w:lineRule="auto"/>
        <w:ind w:firstLine="720"/>
        <w:jc w:val="both"/>
        <w:rPr>
          <w:rFonts w:ascii="Times New Roman Regular" w:hAnsi="Times New Roman Regular" w:cs="Times New Roman Regular"/>
          <w:sz w:val="28"/>
          <w:szCs w:val="28"/>
        </w:rPr>
      </w:pPr>
      <w:r>
        <w:rPr>
          <w:rFonts w:ascii="Times New Roman Bold" w:hAnsi="Times New Roman Bold" w:cs="Times New Roman Bold"/>
          <w:b/>
          <w:bCs/>
          <w:sz w:val="28"/>
          <w:szCs w:val="28"/>
        </w:rPr>
        <w:t>Присяжнюк Р. Н.</w:t>
      </w:r>
      <w:r>
        <w:rPr>
          <w:rFonts w:ascii="Times New Roman Regular" w:hAnsi="Times New Roman Regular" w:cs="Times New Roman Regular"/>
          <w:sz w:val="28"/>
          <w:szCs w:val="28"/>
        </w:rPr>
        <w:t xml:space="preserve"> Особливості відтворення сленгізмів засобами цільової мови (на прикладі серіалу «Ейфорія»). Кваліфікаційна робота на здобуття освітнього ступеня «магістр» зі спеціальності 035 Філологія (035.041 Германські мови та літератури (переклад включно), перша — англійська). ТНПУ ім. В. Гнатюка. Тернопіль, 2025. </w:t>
      </w:r>
    </w:p>
    <w:p w14:paraId="33F2ACD3">
      <w:pPr>
        <w:spacing w:after="0" w:line="360" w:lineRule="auto"/>
        <w:ind w:firstLine="72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У магістерській роботі здійснено теоретичний аналіз сленгової лексики як динамічної підсистеми сучасної мови, визначено її основні функції, класифікаційні ознаки та соціокультурні маркери в комунікативній взаємодії. Проаналізовано культурно специфічні особливості молодіжного сленгу та чинники, що впливають на його формування й використання у сучасному медійному просторі. Узагальнено підходи до перекладу неформальної лексики в аудіовізуальних продуктах та визначено труднощі, зумовлені семантичними зсувами, експресивним забарвленням і контекстуальною залежністю сленгізмів.</w:t>
      </w:r>
    </w:p>
    <w:p w14:paraId="5AABAA68">
      <w:pPr>
        <w:spacing w:after="0" w:line="360" w:lineRule="auto"/>
        <w:ind w:firstLine="72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Обґрунтовано перекладацькі стратегії відтворення сленгових одиниць у серіальному дискурсі, зокрема калькування, описовий переклад, підбір відповідника та транскрипцію. Здійснено емпіричне дослідження 127 сленгізмів, відібраних методом суцільної вибірки з серіалу «Ейфорія»; проведено аналіз змін експресивності під час перекладу та впливу перекладацьких рішень на збереження прагматичного й емоційного ефекту оригіналу. Розроблено практичні рекомендації для перекладачів аудіовізуального контенту щодо оптимального використання стратегій при передачі молодіжного сленгу.</w:t>
      </w:r>
    </w:p>
    <w:p w14:paraId="53421F68">
      <w:pPr>
        <w:spacing w:after="0" w:line="360" w:lineRule="auto"/>
        <w:ind w:firstLine="720"/>
        <w:jc w:val="both"/>
        <w:rPr>
          <w:rFonts w:ascii="Times New Roman Regular" w:hAnsi="Times New Roman Regular" w:cs="Times New Roman Regular"/>
          <w:sz w:val="28"/>
          <w:szCs w:val="28"/>
        </w:rPr>
      </w:pPr>
      <w:r>
        <w:rPr>
          <w:rFonts w:ascii="Times New Roman Bold" w:hAnsi="Times New Roman Bold" w:cs="Times New Roman Bold"/>
          <w:b/>
          <w:bCs/>
          <w:sz w:val="28"/>
          <w:szCs w:val="28"/>
        </w:rPr>
        <w:t>Ключові слова:</w:t>
      </w:r>
      <w:r>
        <w:rPr>
          <w:rFonts w:ascii="Times New Roman Regular" w:hAnsi="Times New Roman Regular" w:cs="Times New Roman Regular"/>
          <w:sz w:val="28"/>
          <w:szCs w:val="28"/>
        </w:rPr>
        <w:t xml:space="preserve"> сленг, сленгізм, аудіовізуальний переклад, експресивність, перекладацькі стратегії, серіал «Ейфорія».</w:t>
      </w:r>
    </w:p>
    <w:p w14:paraId="3351FCED">
      <w:pPr>
        <w:spacing w:after="0" w:line="360" w:lineRule="auto"/>
        <w:jc w:val="center"/>
        <w:rPr>
          <w:rFonts w:ascii="Times New Roman Bold" w:hAnsi="Times New Roman Bold" w:cs="Times New Roman Bold"/>
          <w:b/>
          <w:bCs/>
          <w:sz w:val="28"/>
          <w:szCs w:val="28"/>
        </w:rPr>
      </w:pPr>
    </w:p>
    <w:p w14:paraId="2746AFB4">
      <w:pPr>
        <w:spacing w:after="0" w:line="360" w:lineRule="auto"/>
        <w:jc w:val="center"/>
        <w:rPr>
          <w:rFonts w:ascii="Times New Roman Bold" w:hAnsi="Times New Roman Bold" w:cs="Times New Roman Bold"/>
          <w:b/>
          <w:bCs/>
          <w:sz w:val="28"/>
          <w:szCs w:val="28"/>
        </w:rPr>
      </w:pPr>
    </w:p>
    <w:p w14:paraId="4A4EAA75">
      <w:pPr>
        <w:spacing w:after="0" w:line="360" w:lineRule="auto"/>
        <w:jc w:val="center"/>
        <w:rPr>
          <w:rFonts w:ascii="Times New Roman Bold" w:hAnsi="Times New Roman Bold" w:cs="Times New Roman Bold"/>
          <w:b/>
          <w:bCs/>
          <w:sz w:val="28"/>
          <w:szCs w:val="28"/>
        </w:rPr>
      </w:pPr>
    </w:p>
    <w:p w14:paraId="497B2FCE">
      <w:pPr>
        <w:spacing w:after="0" w:line="360" w:lineRule="auto"/>
        <w:jc w:val="center"/>
        <w:rPr>
          <w:rFonts w:ascii="Times New Roman Bold" w:hAnsi="Times New Roman Bold" w:cs="Times New Roman Bold"/>
          <w:b/>
          <w:bCs/>
          <w:sz w:val="28"/>
          <w:szCs w:val="28"/>
        </w:rPr>
      </w:pPr>
    </w:p>
    <w:p w14:paraId="3A38A968">
      <w:pPr>
        <w:spacing w:after="0" w:line="360" w:lineRule="auto"/>
        <w:jc w:val="center"/>
        <w:rPr>
          <w:rFonts w:ascii="Times New Roman Bold" w:hAnsi="Times New Roman Bold" w:cs="Times New Roman Bold"/>
          <w:b/>
          <w:bCs/>
          <w:sz w:val="28"/>
          <w:szCs w:val="28"/>
        </w:rPr>
      </w:pPr>
    </w:p>
    <w:p w14:paraId="5AB1810E">
      <w:pPr>
        <w:spacing w:after="0" w:line="360" w:lineRule="auto"/>
        <w:jc w:val="center"/>
        <w:rPr>
          <w:rFonts w:ascii="Times New Roman Bold" w:hAnsi="Times New Roman Bold" w:cs="Times New Roman Bold"/>
          <w:b/>
          <w:bCs/>
          <w:sz w:val="28"/>
          <w:szCs w:val="28"/>
        </w:rPr>
      </w:pPr>
    </w:p>
    <w:p w14:paraId="37710BCD">
      <w:pPr>
        <w:spacing w:after="0" w:line="360" w:lineRule="auto"/>
        <w:jc w:val="center"/>
        <w:rPr>
          <w:rFonts w:ascii="Times New Roman Regular" w:hAnsi="Times New Roman Regular" w:cs="Times New Roman Regular"/>
          <w:sz w:val="28"/>
          <w:szCs w:val="28"/>
        </w:rPr>
      </w:pPr>
      <w:r>
        <w:rPr>
          <w:rFonts w:ascii="Times New Roman Bold" w:hAnsi="Times New Roman Bold" w:cs="Times New Roman Bold"/>
          <w:b/>
          <w:bCs/>
          <w:sz w:val="28"/>
          <w:szCs w:val="28"/>
        </w:rPr>
        <w:t>ABSTRACT</w:t>
      </w:r>
    </w:p>
    <w:p w14:paraId="00396C18">
      <w:pPr>
        <w:spacing w:after="0" w:line="360" w:lineRule="auto"/>
        <w:ind w:firstLine="720"/>
        <w:jc w:val="both"/>
        <w:rPr>
          <w:rFonts w:ascii="Times New Roman Regular" w:hAnsi="Times New Roman Regular" w:cs="Times New Roman Regular"/>
          <w:sz w:val="28"/>
          <w:szCs w:val="28"/>
        </w:rPr>
      </w:pPr>
      <w:r>
        <w:rPr>
          <w:rFonts w:ascii="Times New Roman Bold" w:hAnsi="Times New Roman Bold" w:cs="Times New Roman Bold"/>
          <w:b/>
          <w:bCs/>
          <w:sz w:val="28"/>
          <w:szCs w:val="28"/>
        </w:rPr>
        <w:t>Prys</w:t>
      </w:r>
      <w:r>
        <w:rPr>
          <w:rFonts w:ascii="Times New Roman Bold" w:hAnsi="Times New Roman Bold" w:cs="Times New Roman Bold"/>
          <w:b/>
          <w:bCs/>
          <w:sz w:val="28"/>
          <w:szCs w:val="28"/>
          <w:lang w:val="en-US"/>
        </w:rPr>
        <w:t>i</w:t>
      </w:r>
      <w:r>
        <w:rPr>
          <w:rFonts w:ascii="Times New Roman Bold" w:hAnsi="Times New Roman Bold" w:cs="Times New Roman Bold"/>
          <w:b/>
          <w:bCs/>
          <w:sz w:val="28"/>
          <w:szCs w:val="28"/>
        </w:rPr>
        <w:t xml:space="preserve">azhniuk R. N. </w:t>
      </w:r>
      <w:r>
        <w:rPr>
          <w:rFonts w:ascii="Times New Roman Regular" w:hAnsi="Times New Roman Regular" w:cs="Times New Roman Regular"/>
          <w:sz w:val="28"/>
          <w:szCs w:val="28"/>
        </w:rPr>
        <w:t>Specific features of rendering slang units by means of the target language (based on the TV series “Euphoria”). Master’s thesis for obtaining the MA degree in specialty 035 Philology</w:t>
      </w:r>
      <w:r>
        <w:rPr>
          <w:rFonts w:ascii="Times New Roman Regular" w:hAnsi="Times New Roman Regular" w:cs="Times New Roman Regular"/>
          <w:sz w:val="28"/>
          <w:szCs w:val="28"/>
          <w:lang w:val="en-US"/>
        </w:rPr>
        <w:t xml:space="preserve"> </w:t>
      </w:r>
      <w:r>
        <w:rPr>
          <w:rFonts w:ascii="Times New Roman Regular" w:hAnsi="Times New Roman Regular" w:cs="Times New Roman Regular"/>
          <w:sz w:val="28"/>
          <w:szCs w:val="28"/>
        </w:rPr>
        <w:t xml:space="preserve">(035.041 Germanic Languages and Literatures, including Translation, first language – English). Ternopil Volodymyr Hnatiuk National Pedagogical University. Ternopil, 2025. </w:t>
      </w:r>
    </w:p>
    <w:p w14:paraId="332EB8E8">
      <w:pPr>
        <w:spacing w:after="0" w:line="360" w:lineRule="auto"/>
        <w:ind w:firstLine="72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In the Master’s thesis, a theoretical analysis of slang as a dynamic subsystem of contemporary language is carried out; its major functions, classification principles, and sociocultural markers within communicative interaction are outlined. The cultural specificity of youth slang and the factors influencing its formation and usage in modern media discourse are analyzed. The main approaches to translating informal vocabulary in audiovisual products are generalized, and the key difficulties arising from semantic shifts, expressive connotations, and contextual dependence of slang units are identified.</w:t>
      </w:r>
    </w:p>
    <w:p w14:paraId="75C5C4E0">
      <w:pPr>
        <w:spacing w:after="0" w:line="360" w:lineRule="auto"/>
        <w:ind w:firstLine="720"/>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The empirical part of the research includes an analysis of 127 slang units selected by continuous sampling from the TV series “Euphoria”. Translation strategies such as calque, descriptive translation, equivalence selection, and transcription are substantiated. The study examines changes in expressiveness during translation and evaluates how specific translation choices affect the preservation of the original pragmatic and emotional impact. Practical recommendations for translators of audiovisual content regarding the optimal application of strategies for rendering youth slang are provided.</w:t>
      </w:r>
    </w:p>
    <w:p w14:paraId="1294054F">
      <w:pPr>
        <w:spacing w:after="0" w:line="360" w:lineRule="auto"/>
        <w:ind w:firstLine="720"/>
        <w:jc w:val="both"/>
        <w:rPr>
          <w:rFonts w:ascii="Times New Roman Regular" w:hAnsi="Times New Roman Regular" w:cs="Times New Roman Regular"/>
          <w:sz w:val="28"/>
          <w:szCs w:val="28"/>
        </w:rPr>
      </w:pPr>
      <w:r>
        <w:rPr>
          <w:rFonts w:ascii="Times New Roman Bold" w:hAnsi="Times New Roman Bold" w:cs="Times New Roman Bold"/>
          <w:b/>
          <w:bCs/>
          <w:sz w:val="28"/>
          <w:szCs w:val="28"/>
        </w:rPr>
        <w:t>Ke</w:t>
      </w:r>
      <w:r>
        <w:rPr>
          <w:rFonts w:ascii="Times New Roman Bold" w:hAnsi="Times New Roman Bold" w:cs="Times New Roman Bold"/>
          <w:b/>
          <w:bCs/>
          <w:sz w:val="28"/>
          <w:szCs w:val="28"/>
          <w:lang w:val="en-US"/>
        </w:rPr>
        <w:t>y</w:t>
      </w:r>
      <w:r>
        <w:rPr>
          <w:rFonts w:ascii="Times New Roman Bold" w:hAnsi="Times New Roman Bold" w:cs="Times New Roman Bold"/>
          <w:b/>
          <w:bCs/>
          <w:sz w:val="28"/>
          <w:szCs w:val="28"/>
        </w:rPr>
        <w:t xml:space="preserve"> words:</w:t>
      </w:r>
      <w:r>
        <w:rPr>
          <w:rFonts w:ascii="Times New Roman Regular" w:hAnsi="Times New Roman Regular" w:cs="Times New Roman Regular"/>
          <w:sz w:val="28"/>
          <w:szCs w:val="28"/>
        </w:rPr>
        <w:t xml:space="preserve"> slang, slang units, audiovisual translation, expressiveness, translation strategies, “Euphoria”.</w:t>
      </w:r>
    </w:p>
    <w:p w14:paraId="5B5961AF">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DengXian">
    <w:altName w:val="汉仪中等线KW"/>
    <w:panose1 w:val="00000000000000000000"/>
    <w:charset w:val="00"/>
    <w:family w:val="auto"/>
    <w:pitch w:val="default"/>
    <w:sig w:usb0="00000000" w:usb1="00000000" w:usb2="00000000" w:usb3="00000000" w:csb0="00040001" w:csb1="0000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3F71B47"/>
    <w:rsid w:val="D3F71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kern w:val="2"/>
      <w:sz w:val="22"/>
      <w:szCs w:val="22"/>
      <w:lang w:val="uk-UA"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header"/>
    <w:basedOn w:val="1"/>
    <w:unhideWhenUsed/>
    <w:qFormat/>
    <w:uiPriority w:val="99"/>
    <w:pPr>
      <w:tabs>
        <w:tab w:val="center" w:pos="4819"/>
        <w:tab w:val="right" w:pos="9639"/>
      </w:tabs>
      <w:spacing w:after="0" w:line="240" w:lineRule="auto"/>
    </w:pPr>
  </w:style>
  <w:style w:type="paragraph" w:styleId="5">
    <w:name w:val="toc 2"/>
    <w:basedOn w:val="1"/>
    <w:next w:val="1"/>
    <w:unhideWhenUsed/>
    <w:qFormat/>
    <w:uiPriority w:val="39"/>
    <w:pPr>
      <w:spacing w:after="0" w:line="360" w:lineRule="auto"/>
      <w:jc w:val="center"/>
    </w:pPr>
    <w:rPr>
      <w:rFonts w:ascii="Times New Roman" w:hAnsi="Times New Roman" w:eastAsia="DengXian" w:cs="Times New Roman"/>
      <w:b/>
      <w:bCs/>
      <w:kern w:val="0"/>
      <w:sz w:val="28"/>
      <w:szCs w:val="2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2025-12-15T14:43:00Z</dcterms:created>
  <dc:creator>Руслана Дуліба</dc:creator>
  <cp:lastModifiedBy>Руслана Дуліба</cp:lastModifiedBy>
  <dcterms:modified xsi:type="dcterms:W3CDTF">2025-12-15T14:43:26Z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DD40A694B88E8BE461024069C0EE6B3B_41</vt:lpwstr>
  </property>
</Properties>
</file>