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80" w:line="240" w:lineRule="auto"/>
        <w:ind w:right="5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Додаток Б </w:t>
      </w:r>
      <w:r w:rsidDel="00000000" w:rsidR="00000000" w:rsidRPr="00000000">
        <w:rPr>
          <w:rtl w:val="0"/>
        </w:rPr>
      </w:r>
    </w:p>
    <w:p w:rsidR="00000000" w:rsidDel="00000000" w:rsidP="00000000" w:rsidRDefault="00000000" w:rsidRPr="00000000" w14:paraId="00000002">
      <w:pPr>
        <w:spacing w:line="360" w:lineRule="auto"/>
        <w:ind w:right="-891" w:firstLine="708"/>
        <w:jc w:val="righ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spacing w:line="360" w:lineRule="auto"/>
        <w:ind w:right="-891" w:firstLine="708"/>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04">
      <w:pPr>
        <w:spacing w:line="240" w:lineRule="auto"/>
        <w:ind w:firstLine="709"/>
        <w:jc w:val="both"/>
        <w:rPr>
          <w:rFonts w:ascii="Times New Roman" w:cs="Times New Roman" w:eastAsia="Times New Roman" w:hAnsi="Times New Roman"/>
          <w:sz w:val="28"/>
          <w:szCs w:val="28"/>
        </w:rPr>
      </w:pPr>
      <w:bookmarkStart w:colFirst="0" w:colLast="0" w:name="_heading=h.u0ni2l95xhu2" w:id="0"/>
      <w:bookmarkEnd w:id="0"/>
      <w:r w:rsidDel="00000000" w:rsidR="00000000" w:rsidRPr="00000000">
        <w:rPr>
          <w:rFonts w:ascii="Times New Roman" w:cs="Times New Roman" w:eastAsia="Times New Roman" w:hAnsi="Times New Roman"/>
          <w:b w:val="1"/>
          <w:bCs w:val="1"/>
          <w:sz w:val="28"/>
          <w:szCs w:val="28"/>
          <w:rtl w:val="0"/>
        </w:rPr>
        <w:t xml:space="preserve">Савчук Ю.О.</w:t>
      </w:r>
      <w:r w:rsidDel="00000000" w:rsidR="00000000" w:rsidRPr="00000000">
        <w:rPr>
          <w:rFonts w:ascii="Times New Roman" w:cs="Times New Roman" w:eastAsia="Times New Roman" w:hAnsi="Times New Roman"/>
          <w:sz w:val="28"/>
          <w:szCs w:val="28"/>
          <w:rtl w:val="0"/>
        </w:rPr>
        <w:t xml:space="preserve"> Відтворення ідіостилю Ернеста Гемінґвея в українському художньому перекладі.  Кваліфікаційна робота на здобуття освітнього ступеня «магістр» зі спеціальності 035 Філологія. ТНПУ ім. В. Гнатюка. Тернопіль, 2025. 82 с.</w:t>
      </w:r>
    </w:p>
    <w:p w:rsidR="00000000" w:rsidDel="00000000" w:rsidP="00000000" w:rsidRDefault="00000000" w:rsidRPr="00000000" w14:paraId="00000005">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магістерській роботі розглянуто жанрово-стилістичні особливості авторського стилю Е.Гемінґвея  та їх відтворення в українському перекладі на матеріалі оригінальних текстів та українських перекладів повісті-притчі «Старий і море» і роману «Прощавай, зброє». Окрему увагу приділено адекватності перекладу вербальних маркерів підтексту у прозі Гемінґвея, що  передбачає ретельний відбір фонетичних, лексичних, граматичних, синтаксичних, композиційних та інтертекстуальних елементів, а також врахування позамовних чинників завдяки детальному аналізу на до перекладацькому етапі.</w:t>
      </w:r>
    </w:p>
    <w:p w:rsidR="00000000" w:rsidDel="00000000" w:rsidP="00000000" w:rsidRDefault="00000000" w:rsidRPr="00000000" w14:paraId="00000006">
      <w:pPr>
        <w:spacing w:line="240" w:lineRule="auto"/>
        <w:ind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 </w:t>
      </w:r>
      <w:r w:rsidDel="00000000" w:rsidR="00000000" w:rsidRPr="00000000">
        <w:rPr>
          <w:rFonts w:ascii="Times New Roman" w:cs="Times New Roman" w:eastAsia="Times New Roman" w:hAnsi="Times New Roman"/>
          <w:sz w:val="28"/>
          <w:szCs w:val="28"/>
          <w:rtl w:val="0"/>
        </w:rPr>
        <w:t xml:space="preserve">адаптація, втрачене покоління</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ідіостиль, підтекст, перекладацькі трансформації, художній переклад. </w:t>
      </w:r>
    </w:p>
    <w:p w:rsidR="00000000" w:rsidDel="00000000" w:rsidP="00000000" w:rsidRDefault="00000000" w:rsidRPr="00000000" w14:paraId="00000008">
      <w:pPr>
        <w:spacing w:line="360" w:lineRule="auto"/>
        <w:ind w:right="-891" w:firstLine="708"/>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9">
      <w:pPr>
        <w:spacing w:line="360" w:lineRule="auto"/>
        <w:ind w:right="-891" w:firstLine="708"/>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A">
      <w:pPr>
        <w:spacing w:line="360" w:lineRule="auto"/>
        <w:ind w:right="-891" w:firstLine="708"/>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0B">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Savchuk Y.O.</w:t>
      </w:r>
      <w:r w:rsidDel="00000000" w:rsidR="00000000" w:rsidRPr="00000000">
        <w:rPr>
          <w:rFonts w:ascii="Times New Roman" w:cs="Times New Roman" w:eastAsia="Times New Roman" w:hAnsi="Times New Roman"/>
          <w:sz w:val="28"/>
          <w:szCs w:val="28"/>
          <w:rtl w:val="0"/>
        </w:rPr>
        <w:t xml:space="preserve"> Reproduction of Ernest Hemingway's idiostyle in Ukrainian literary translation. Master’s thesis for the MA degree in the specialty 035 Philology. Ternopil Volodymyr Hnatiuk National Pedagogical University. Ternopil, 2025. 82 p.</w:t>
      </w:r>
    </w:p>
    <w:p w:rsidR="00000000" w:rsidDel="00000000" w:rsidP="00000000" w:rsidRDefault="00000000" w:rsidRPr="00000000" w14:paraId="0000000C">
      <w:pPr>
        <w:spacing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master's thesis examines E. Hemingway's genre-stylistic features of prose writing and their reproduction in Ukrainian based on the original texts and Ukrainian translations of the parable story «The Old Man and the Sea» and the novel «A Farewell to Arms». Special attention is paid to the adequacy in the translation of verbal markers of subtext in Hemingway's prose, which involves a careful selection of phonetic, lexical, grammatical, syntactic, compositional, and intertextual elements, as well as considering extralinguistic factors through detailed analysis at the pre-translation stage.</w:t>
      </w:r>
    </w:p>
    <w:p w:rsidR="00000000" w:rsidDel="00000000" w:rsidP="00000000" w:rsidRDefault="00000000" w:rsidRPr="00000000" w14:paraId="0000000E">
      <w:pPr>
        <w:spacing w:line="240" w:lineRule="auto"/>
        <w:ind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F">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Keywords: </w:t>
      </w:r>
      <w:r w:rsidDel="00000000" w:rsidR="00000000" w:rsidRPr="00000000">
        <w:rPr>
          <w:rFonts w:ascii="Times New Roman" w:cs="Times New Roman" w:eastAsia="Times New Roman" w:hAnsi="Times New Roman"/>
          <w:sz w:val="28"/>
          <w:szCs w:val="28"/>
          <w:rtl w:val="0"/>
        </w:rPr>
        <w:t xml:space="preserve">adaptation, lost generation, idiostyle, subtext, translation transformations, literary translation. </w:t>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semiHidden w:val="1"/>
    <w:unhideWhenUsed w:val="1"/>
    <w:rsid w:val="00FE7EED"/>
    <w:pPr>
      <w:spacing w:after="100" w:afterAutospacing="1" w:before="100" w:beforeAutospacing="1" w:line="240" w:lineRule="auto"/>
    </w:pPr>
    <w:rPr>
      <w:rFonts w:ascii="Times New Roman" w:cs="Times New Roman" w:eastAsia="Times New Roman" w:hAnsi="Times New Roman"/>
      <w:sz w:val="24"/>
      <w:szCs w:val="24"/>
      <w:lang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MynSLZG6kcUqlQ5Z980AP//Ymw==">CgMxLjAyDmgudTBuaTJsOTV4aHUyOAByITE2Z213TnIzQlZRZTF5TGhtRnM4b281VndER1haNVpmag==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2025-12-15T21:21:00Z</dcterms:created>
  <dc:creator>DELL</dc:creator>
</cp:coreProperties>
</file>