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D4" w:rsidRPr="003177F8" w:rsidRDefault="006B37D4" w:rsidP="006B37D4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22260" wp14:editId="566DC761">
                <wp:simplePos x="0" y="0"/>
                <wp:positionH relativeFrom="column">
                  <wp:posOffset>6052185</wp:posOffset>
                </wp:positionH>
                <wp:positionV relativeFrom="paragraph">
                  <wp:posOffset>-293370</wp:posOffset>
                </wp:positionV>
                <wp:extent cx="231775" cy="245110"/>
                <wp:effectExtent l="0" t="0" r="0" b="0"/>
                <wp:wrapNone/>
                <wp:docPr id="110303768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1775" cy="245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48806" id="Rectangle 8" o:spid="_x0000_s1026" style="position:absolute;margin-left:476.55pt;margin-top:-23.1pt;width:18.25pt;height:19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" fillcolor="white [3212]" stroked="f" strokeweight="1pt"/>
            </w:pict>
          </mc:Fallback>
        </mc:AlternateContent>
      </w:r>
      <w:r w:rsidRPr="003177F8">
        <w:rPr>
          <w:rFonts w:ascii="Times New Roman" w:eastAsia="Calibri" w:hAnsi="Times New Roman" w:cs="Times New Roman"/>
          <w:b/>
          <w:sz w:val="28"/>
          <w:szCs w:val="28"/>
        </w:rPr>
        <w:t>АНОТАЦІЯ</w:t>
      </w:r>
    </w:p>
    <w:p w:rsidR="006B37D4" w:rsidRPr="003177F8" w:rsidRDefault="006B37D4" w:rsidP="006B37D4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Pr="0091543D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3177F8">
        <w:rPr>
          <w:rFonts w:ascii="Times New Roman" w:eastAsia="Calibri" w:hAnsi="Times New Roman" w:cs="Times New Roman"/>
          <w:b/>
          <w:iCs/>
          <w:sz w:val="28"/>
          <w:szCs w:val="28"/>
        </w:rPr>
        <w:t>Брінджак</w:t>
      </w:r>
      <w:proofErr w:type="spellEnd"/>
      <w:r w:rsidRPr="003177F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Н. І.</w:t>
      </w:r>
      <w:r w:rsidRPr="003177F8">
        <w:t xml:space="preserve"> </w:t>
      </w:r>
      <w:r w:rsidRPr="0091543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Використання краєзнавчого матеріалу під час вивчення сільського господарства на </w:t>
      </w:r>
      <w:proofErr w:type="spellStart"/>
      <w:r w:rsidRPr="0091543D">
        <w:rPr>
          <w:rFonts w:ascii="Times New Roman" w:eastAsia="Calibri" w:hAnsi="Times New Roman" w:cs="Times New Roman"/>
          <w:bCs/>
          <w:iCs/>
          <w:sz w:val="28"/>
          <w:szCs w:val="28"/>
        </w:rPr>
        <w:t>уроках</w:t>
      </w:r>
      <w:proofErr w:type="spellEnd"/>
      <w:r w:rsidRPr="0091543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географії.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Кваліфікаційна </w:t>
      </w:r>
      <w:r w:rsidRPr="003177F8">
        <w:rPr>
          <w:rFonts w:ascii="Times New Roman" w:eastAsia="Calibri" w:hAnsi="Times New Roman" w:cs="Times New Roman"/>
          <w:sz w:val="28"/>
          <w:szCs w:val="28"/>
        </w:rPr>
        <w:t>робота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здобуття освітнього ступеня «магістр» із спеціальності 014.07. Середня освіта (Географія). </w:t>
      </w:r>
      <w:r w:rsidRPr="003177F8">
        <w:rPr>
          <w:rFonts w:ascii="Times New Roman" w:eastAsia="Calibri" w:hAnsi="Times New Roman" w:cs="Times New Roman"/>
          <w:sz w:val="28"/>
          <w:szCs w:val="28"/>
        </w:rPr>
        <w:t>Тернопільський національний педагогічний університет ім. В. Гнатюка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177F8">
        <w:rPr>
          <w:rFonts w:ascii="Times New Roman" w:eastAsia="Calibri" w:hAnsi="Times New Roman" w:cs="Times New Roman"/>
          <w:sz w:val="28"/>
          <w:szCs w:val="28"/>
        </w:rPr>
        <w:t xml:space="preserve">Тернопіль, 2025. </w:t>
      </w:r>
      <w:r w:rsidRPr="00784D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114 с. </w:t>
      </w:r>
    </w:p>
    <w:p w:rsidR="006B37D4" w:rsidRPr="003177F8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B37D4" w:rsidRPr="003177F8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7F8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</w:rPr>
        <w:t>кваліфікаційні</w:t>
      </w:r>
      <w:r w:rsidRPr="003177F8">
        <w:rPr>
          <w:rFonts w:ascii="Times New Roman" w:eastAsia="Calibri" w:hAnsi="Times New Roman" w:cs="Times New Roman"/>
          <w:sz w:val="28"/>
          <w:szCs w:val="28"/>
        </w:rPr>
        <w:t xml:space="preserve"> роботі розкрито теоретичні та методичні аспекти використання краєзнавчого матеріалу на </w:t>
      </w:r>
      <w:proofErr w:type="spellStart"/>
      <w:r w:rsidRPr="003177F8">
        <w:rPr>
          <w:rFonts w:ascii="Times New Roman" w:eastAsia="Calibri" w:hAnsi="Times New Roman" w:cs="Times New Roman"/>
          <w:sz w:val="28"/>
          <w:szCs w:val="28"/>
        </w:rPr>
        <w:t>уроках</w:t>
      </w:r>
      <w:proofErr w:type="spellEnd"/>
      <w:r w:rsidRPr="003177F8">
        <w:rPr>
          <w:rFonts w:ascii="Times New Roman" w:eastAsia="Calibri" w:hAnsi="Times New Roman" w:cs="Times New Roman"/>
          <w:sz w:val="28"/>
          <w:szCs w:val="28"/>
        </w:rPr>
        <w:t xml:space="preserve"> географії. З’ясовано сутність  основних понять й категорії проблеми дослідження, а саме «краєзнавчий підхід», «краєзнавчий принцип» та ін., форми і методи</w:t>
      </w:r>
      <w:r w:rsidRPr="003177F8">
        <w:rPr>
          <w:rFonts w:ascii="Times New Roman" w:hAnsi="Times New Roman" w:cs="Times New Roman"/>
          <w:sz w:val="28"/>
          <w:szCs w:val="28"/>
        </w:rPr>
        <w:t xml:space="preserve"> </w:t>
      </w:r>
      <w:r w:rsidRPr="003177F8">
        <w:rPr>
          <w:rFonts w:ascii="Times New Roman" w:eastAsia="Calibri" w:hAnsi="Times New Roman" w:cs="Times New Roman"/>
          <w:sz w:val="28"/>
          <w:szCs w:val="28"/>
        </w:rPr>
        <w:t>організації краєзнавчої роботи в освітньому процесі з географії.</w:t>
      </w:r>
    </w:p>
    <w:p w:rsidR="006B37D4" w:rsidRPr="003177F8" w:rsidRDefault="006B37D4" w:rsidP="006B37D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177F8">
        <w:rPr>
          <w:rFonts w:ascii="Times New Roman" w:eastAsia="Calibri" w:hAnsi="Times New Roman" w:cs="Times New Roman"/>
          <w:sz w:val="28"/>
          <w:szCs w:val="28"/>
        </w:rPr>
        <w:t>Описано сучасний стан сільського господарства Бучацької територіальної громади, проблеми та перспективи його розвитку, що послужило краєзнавчим матеріалом для вивчення теми «Сільське господарство» в курсі «Географія. Україна і світове господарство. 9 клас».</w:t>
      </w:r>
    </w:p>
    <w:p w:rsidR="006B37D4" w:rsidRPr="003177F8" w:rsidRDefault="006B37D4" w:rsidP="006B37D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177F8">
        <w:rPr>
          <w:rFonts w:ascii="Times New Roman" w:eastAsia="Calibri" w:hAnsi="Times New Roman" w:cs="Times New Roman"/>
          <w:sz w:val="28"/>
          <w:szCs w:val="28"/>
        </w:rPr>
        <w:t>Створено наочні моделі – конспекти уроків, де показано форми, методи, прийоми, технології: як дослідження краєзнавчого матеріалу, так і шляхи його використання в освітньому процесі.</w:t>
      </w:r>
    </w:p>
    <w:p w:rsidR="006B37D4" w:rsidRPr="003177F8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B37D4" w:rsidRPr="003177F8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77F8">
        <w:rPr>
          <w:rFonts w:ascii="Times New Roman" w:eastAsia="Calibri" w:hAnsi="Times New Roman" w:cs="Times New Roman"/>
          <w:b/>
          <w:sz w:val="28"/>
          <w:szCs w:val="28"/>
        </w:rPr>
        <w:t>Ключові слова:</w:t>
      </w:r>
      <w:r w:rsidRPr="003177F8">
        <w:rPr>
          <w:rFonts w:ascii="Times New Roman" w:eastAsia="Calibri" w:hAnsi="Times New Roman" w:cs="Times New Roman"/>
          <w:sz w:val="28"/>
          <w:szCs w:val="28"/>
        </w:rPr>
        <w:t xml:space="preserve"> краєзнавчий підхід, краєзнавчий принцип, краєзнавчі матеріали, сільське господарство, конспект уроку.</w:t>
      </w:r>
    </w:p>
    <w:p w:rsidR="006B37D4" w:rsidRPr="003177F8" w:rsidRDefault="006B37D4" w:rsidP="006B37D4">
      <w:pPr>
        <w:spacing w:after="200" w:line="276" w:lineRule="auto"/>
        <w:ind w:firstLine="0"/>
        <w:jc w:val="left"/>
        <w:rPr>
          <w:rFonts w:ascii="Calibri" w:eastAsia="Calibri" w:hAnsi="Calibri" w:cs="Times New Roman"/>
        </w:rPr>
      </w:pPr>
    </w:p>
    <w:p w:rsidR="006B37D4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Pr="0091543D" w:rsidRDefault="006B37D4" w:rsidP="006B37D4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6B844" wp14:editId="6757F559">
                <wp:simplePos x="0" y="0"/>
                <wp:positionH relativeFrom="column">
                  <wp:posOffset>6052185</wp:posOffset>
                </wp:positionH>
                <wp:positionV relativeFrom="paragraph">
                  <wp:posOffset>-313690</wp:posOffset>
                </wp:positionV>
                <wp:extent cx="231775" cy="245110"/>
                <wp:effectExtent l="0" t="0" r="0" b="0"/>
                <wp:wrapNone/>
                <wp:docPr id="71187699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1775" cy="245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3832" id="Rectangle 8" o:spid="_x0000_s1026" style="position:absolute;margin-left:476.55pt;margin-top:-24.7pt;width:18.25pt;height:19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" fillcolor="white [3212]" stroked="f" strokeweight="1pt"/>
            </w:pict>
          </mc:Fallback>
        </mc:AlternateContent>
      </w:r>
      <w:r w:rsidRPr="00CD3E4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BSTRACT</w:t>
      </w:r>
    </w:p>
    <w:p w:rsidR="006B37D4" w:rsidRPr="004F5AA7" w:rsidRDefault="006B37D4" w:rsidP="006B37D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37D4" w:rsidRPr="00E02114" w:rsidRDefault="006B37D4" w:rsidP="006B37D4">
      <w:pPr>
        <w:spacing w:line="360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3E43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Brindzhak</w:t>
      </w:r>
      <w:proofErr w:type="spellEnd"/>
      <w:r w:rsidRPr="00CD3E43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N. I. </w:t>
      </w:r>
      <w:r w:rsidRPr="0091543D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The Usage of Local Lore Material in Teaching Agriculture in Geography Classes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 xml:space="preserve">. 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Master's thesis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for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MA 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degree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specialty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014.07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Secondary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1543D">
        <w:rPr>
          <w:rFonts w:ascii="Times New Roman" w:eastAsia="Calibri" w:hAnsi="Times New Roman" w:cs="Times New Roman"/>
          <w:sz w:val="28"/>
          <w:szCs w:val="28"/>
        </w:rPr>
        <w:t>Geography</w:t>
      </w:r>
      <w:proofErr w:type="spellEnd"/>
      <w:r w:rsidRPr="0091543D"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Ternopil</w:t>
      </w:r>
      <w:proofErr w:type="spell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National Pedagogical University named after V. </w:t>
      </w:r>
      <w:proofErr w:type="spell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Hnat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uk</w:t>
      </w:r>
      <w:proofErr w:type="spell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Ternopil</w:t>
      </w:r>
      <w:proofErr w:type="spell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2025. </w:t>
      </w:r>
      <w:proofErr w:type="gram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p. </w:t>
      </w:r>
    </w:p>
    <w:p w:rsidR="006B37D4" w:rsidRPr="004F5AA7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B37D4" w:rsidRPr="00CD3E43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In t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he master's thesis reveals theoretical and methodological aspects of using local history material in geography lessons. The essence of the main concepts and categories of the research problem, namely the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local history approach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ocal history principle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etc., forms and methods of organizing local history work in the educational process in </w:t>
      </w:r>
      <w:proofErr w:type="gram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geography,</w:t>
      </w:r>
      <w:proofErr w:type="gram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are clarified.</w:t>
      </w:r>
    </w:p>
    <w:p w:rsidR="006B37D4" w:rsidRPr="00CD3E43" w:rsidRDefault="006B37D4" w:rsidP="006B37D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current state of agriculture in the </w:t>
      </w:r>
      <w:proofErr w:type="spell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Buchach</w:t>
      </w:r>
      <w:proofErr w:type="spell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territorial community, its problems and prospects for development are described, which served as local history material for studying the topic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Agriculture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 the course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Geography. Ukraine and the World Economy. Grade 9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6B37D4" w:rsidRDefault="006B37D4" w:rsidP="006B37D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Visual models </w:t>
      </w:r>
      <w:proofErr w:type="gramStart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have been created</w:t>
      </w:r>
      <w:proofErr w:type="gramEnd"/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3177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>lesson summaries, which show forms, methods, techniques, and technologies: both the study of local history material and ways of using it in the educational process.</w:t>
      </w:r>
    </w:p>
    <w:p w:rsidR="006B37D4" w:rsidRPr="004F5AA7" w:rsidRDefault="006B37D4" w:rsidP="006B37D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B37D4" w:rsidRDefault="006B37D4" w:rsidP="006B37D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D3E4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Keywords:</w:t>
      </w:r>
      <w:r w:rsidRPr="00CD3E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history approach, local history principle, local history materials, agriculture, lesson outline.</w:t>
      </w:r>
    </w:p>
    <w:p w:rsidR="00220C77" w:rsidRPr="006B37D4" w:rsidRDefault="00220C77" w:rsidP="006B37D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20C77" w:rsidRPr="006B37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D4"/>
    <w:rsid w:val="00220C77"/>
    <w:rsid w:val="006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4CC4-FC87-45D0-B49C-7D298937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D4"/>
    <w:pPr>
      <w:spacing w:after="0" w:line="240" w:lineRule="auto"/>
      <w:ind w:firstLine="68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2025-12-19T09:53:00Z</dcterms:created>
  <dcterms:modified xsi:type="dcterms:W3CDTF">2025-12-19T09:53:00Z</dcterms:modified>
</cp:coreProperties>
</file>